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700" w:line="360" w:lineRule="auto"/>
        <w:jc w:val="center"/>
        <w:rPr>
          <w:rFonts w:ascii="宋体" w:hAnsi="宋体"/>
          <w:sz w:val="84"/>
          <w:szCs w:val="84"/>
        </w:rPr>
      </w:pPr>
      <w:r>
        <w:rPr>
          <w:rFonts w:ascii="宋体" w:hAnsi="宋体"/>
          <w:sz w:val="84"/>
          <w:szCs w:val="84"/>
        </w:rPr>
        <w:drawing>
          <wp:inline distT="0" distB="0" distL="114300" distR="114300">
            <wp:extent cx="1162685" cy="1266825"/>
            <wp:effectExtent l="0" t="0" r="18415" b="9525"/>
            <wp:docPr id="1" name="Picture 1" descr="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Y"/>
                    <pic:cNvPicPr>
                      <a:picLocks noChangeAspect="1"/>
                    </pic:cNvPicPr>
                  </pic:nvPicPr>
                  <pic:blipFill>
                    <a:blip r:embed="rId16"/>
                    <a:stretch>
                      <a:fillRect/>
                    </a:stretch>
                  </pic:blipFill>
                  <pic:spPr>
                    <a:xfrm>
                      <a:off x="0" y="0"/>
                      <a:ext cx="1162685" cy="1266825"/>
                    </a:xfrm>
                    <a:prstGeom prst="rect">
                      <a:avLst/>
                    </a:prstGeom>
                    <a:noFill/>
                    <a:ln>
                      <a:noFill/>
                    </a:ln>
                  </pic:spPr>
                </pic:pic>
              </a:graphicData>
            </a:graphic>
          </wp:inline>
        </w:drawing>
      </w:r>
    </w:p>
    <w:p>
      <w:pPr>
        <w:spacing w:line="360" w:lineRule="auto"/>
        <w:jc w:val="center"/>
        <w:rPr>
          <w:rFonts w:ascii="宋体" w:hAnsi="宋体"/>
          <w:b/>
          <w:spacing w:val="20"/>
          <w:sz w:val="10"/>
          <w:szCs w:val="10"/>
        </w:rPr>
      </w:pPr>
    </w:p>
    <w:p>
      <w:pPr>
        <w:spacing w:beforeLines="100"/>
        <w:jc w:val="center"/>
        <w:rPr>
          <w:rFonts w:ascii="宋体" w:hAnsi="宋体"/>
          <w:b/>
          <w:w w:val="75"/>
          <w:sz w:val="44"/>
          <w:szCs w:val="44"/>
        </w:rPr>
      </w:pPr>
      <w:r>
        <w:rPr>
          <w:rFonts w:hint="eastAsia" w:ascii="宋体" w:hAnsi="宋体"/>
          <w:b/>
          <w:w w:val="75"/>
          <w:sz w:val="44"/>
          <w:szCs w:val="44"/>
        </w:rPr>
        <w:t>番禺中心医院医疗集团饭堂委托运营服务采购项目</w:t>
      </w:r>
    </w:p>
    <w:p>
      <w:pPr>
        <w:adjustRightInd w:val="0"/>
        <w:snapToGrid w:val="0"/>
        <w:spacing w:beforeLines="50" w:afterLines="1700" w:line="1000" w:lineRule="exact"/>
        <w:jc w:val="center"/>
        <w:rPr>
          <w:rFonts w:ascii="宋体" w:hAnsi="宋体"/>
          <w:b/>
          <w:spacing w:val="40"/>
          <w:sz w:val="52"/>
          <w:szCs w:val="52"/>
        </w:rPr>
      </w:pPr>
      <w:r>
        <w:rPr>
          <w:rFonts w:hint="eastAsia" w:ascii="宋体" w:hAnsi="宋体"/>
          <w:b/>
          <w:spacing w:val="40"/>
          <w:sz w:val="52"/>
          <w:szCs w:val="52"/>
        </w:rPr>
        <w:t>招标文件</w:t>
      </w:r>
    </w:p>
    <w:p>
      <w:pPr>
        <w:tabs>
          <w:tab w:val="left" w:pos="3544"/>
        </w:tabs>
        <w:spacing w:line="520" w:lineRule="exact"/>
        <w:ind w:firstLine="852" w:firstLineChars="303"/>
        <w:jc w:val="left"/>
        <w:rPr>
          <w:rFonts w:ascii="宋体" w:hAnsi="宋体"/>
          <w:b/>
          <w:sz w:val="28"/>
          <w:szCs w:val="28"/>
        </w:rPr>
      </w:pPr>
      <w:r>
        <w:rPr>
          <w:rFonts w:hint="eastAsia" w:ascii="宋体" w:hAnsi="宋体" w:cs="Arial"/>
          <w:b/>
          <w:sz w:val="28"/>
          <w:szCs w:val="28"/>
        </w:rPr>
        <w:t>项 目 编 号 ：</w:t>
      </w:r>
      <w:r>
        <w:rPr>
          <w:rFonts w:ascii="宋体" w:hAnsi="宋体"/>
          <w:b/>
          <w:sz w:val="28"/>
          <w:szCs w:val="28"/>
        </w:rPr>
        <w:t>ZY140Q2122F29011</w:t>
      </w:r>
    </w:p>
    <w:p>
      <w:pPr>
        <w:spacing w:line="520" w:lineRule="exact"/>
        <w:ind w:firstLine="852" w:firstLineChars="303"/>
        <w:rPr>
          <w:rFonts w:ascii="宋体" w:hAnsi="宋体" w:cs="Arial"/>
          <w:b/>
          <w:sz w:val="28"/>
          <w:szCs w:val="28"/>
        </w:rPr>
      </w:pPr>
      <w:r>
        <w:rPr>
          <w:rFonts w:hint="eastAsia" w:ascii="宋体" w:hAnsi="宋体" w:cs="Arial"/>
          <w:b/>
          <w:sz w:val="28"/>
          <w:szCs w:val="28"/>
        </w:rPr>
        <w:t>招标代理机构：</w:t>
      </w:r>
      <w:r>
        <w:rPr>
          <w:rFonts w:hint="eastAsia" w:ascii="宋体" w:hAnsi="宋体"/>
          <w:b/>
          <w:kern w:val="28"/>
          <w:sz w:val="28"/>
          <w:szCs w:val="28"/>
        </w:rPr>
        <w:t>中曜招标股份有限公司</w:t>
      </w:r>
    </w:p>
    <w:p>
      <w:pPr>
        <w:spacing w:line="520" w:lineRule="exact"/>
        <w:ind w:firstLine="852" w:firstLineChars="303"/>
        <w:rPr>
          <w:rFonts w:ascii="宋体" w:hAnsi="宋体"/>
          <w:sz w:val="36"/>
          <w:szCs w:val="36"/>
        </w:rPr>
      </w:pPr>
      <w:r>
        <w:rPr>
          <w:rFonts w:hint="eastAsia" w:ascii="宋体" w:hAnsi="宋体" w:cs="Arial"/>
          <w:b/>
          <w:sz w:val="28"/>
          <w:szCs w:val="28"/>
        </w:rPr>
        <w:t>编 制 日 期 ：</w:t>
      </w:r>
      <w:r>
        <w:rPr>
          <w:rFonts w:hint="eastAsia" w:ascii="宋体" w:hAnsi="宋体"/>
          <w:b/>
          <w:sz w:val="28"/>
          <w:szCs w:val="28"/>
        </w:rPr>
        <w:t>2023年1月</w:t>
      </w:r>
    </w:p>
    <w:p>
      <w:pPr>
        <w:pageBreakBefore/>
        <w:widowControl/>
        <w:spacing w:beforeLines="200"/>
        <w:jc w:val="center"/>
        <w:rPr>
          <w:rFonts w:ascii="宋体" w:hAnsi="宋体"/>
          <w:sz w:val="36"/>
          <w:szCs w:val="36"/>
        </w:rPr>
      </w:pPr>
      <w:r>
        <w:rPr>
          <w:rFonts w:hint="eastAsia" w:ascii="宋体" w:hAnsi="宋体"/>
          <w:sz w:val="36"/>
          <w:szCs w:val="36"/>
        </w:rPr>
        <w:t>温馨提示：投标人投标特别注意事项</w:t>
      </w:r>
    </w:p>
    <w:p>
      <w:pPr>
        <w:jc w:val="center"/>
        <w:rPr>
          <w:rFonts w:ascii="宋体" w:hAnsi="宋体"/>
          <w:sz w:val="36"/>
          <w:szCs w:val="36"/>
        </w:rPr>
      </w:pPr>
    </w:p>
    <w:p>
      <w:pPr>
        <w:numPr>
          <w:ilvl w:val="0"/>
          <w:numId w:val="1"/>
        </w:numPr>
        <w:tabs>
          <w:tab w:val="left" w:pos="0"/>
          <w:tab w:val="left" w:pos="1080"/>
        </w:tabs>
        <w:spacing w:line="520" w:lineRule="exact"/>
        <w:ind w:left="0" w:firstLine="435"/>
        <w:rPr>
          <w:rFonts w:ascii="宋体" w:hAnsi="宋体"/>
          <w:szCs w:val="21"/>
        </w:rPr>
      </w:pPr>
      <w:r>
        <w:rPr>
          <w:rFonts w:hint="eastAsia" w:ascii="宋体" w:hAnsi="宋体"/>
          <w:szCs w:val="21"/>
        </w:rPr>
        <w:t>招标代理服务费缴纳账户（</w:t>
      </w:r>
      <w:r>
        <w:rPr>
          <w:rFonts w:hint="eastAsia" w:ascii="宋体" w:hAnsi="宋体"/>
          <w:b/>
        </w:rPr>
        <w:t>账号：</w:t>
      </w:r>
      <w:r>
        <w:rPr>
          <w:rFonts w:ascii="宋体" w:hAnsi="宋体"/>
          <w:b/>
        </w:rPr>
        <w:t>3602024309201331789</w:t>
      </w:r>
      <w:r>
        <w:rPr>
          <w:rFonts w:hint="eastAsia" w:ascii="宋体" w:hAnsi="宋体"/>
          <w:b/>
        </w:rPr>
        <w:t>，开户银行：工商银行番禺支行，收款人：中曜招标股份有限公司</w:t>
      </w:r>
      <w:r>
        <w:rPr>
          <w:rFonts w:hint="eastAsia" w:ascii="宋体" w:hAnsi="宋体"/>
          <w:szCs w:val="21"/>
        </w:rPr>
        <w:t>）</w:t>
      </w:r>
    </w:p>
    <w:p>
      <w:pPr>
        <w:numPr>
          <w:ilvl w:val="0"/>
          <w:numId w:val="1"/>
        </w:numPr>
        <w:tabs>
          <w:tab w:val="left" w:pos="0"/>
          <w:tab w:val="left" w:pos="1080"/>
        </w:tabs>
        <w:spacing w:line="520" w:lineRule="exact"/>
        <w:ind w:left="0" w:firstLine="435"/>
        <w:rPr>
          <w:rFonts w:ascii="宋体" w:hAnsi="宋体"/>
          <w:szCs w:val="21"/>
        </w:rPr>
      </w:pPr>
      <w:r>
        <w:rPr>
          <w:rFonts w:hint="eastAsia" w:ascii="宋体" w:hAnsi="宋体"/>
          <w:szCs w:val="21"/>
        </w:rPr>
        <w:t>投标保证金缴纳账户（户  名：广州交易所集团有限公司、开户行：平安银行广州越秀支行、账  号：15735078850049）。</w:t>
      </w:r>
    </w:p>
    <w:p>
      <w:pPr>
        <w:numPr>
          <w:ilvl w:val="0"/>
          <w:numId w:val="1"/>
        </w:numPr>
        <w:tabs>
          <w:tab w:val="left" w:pos="0"/>
          <w:tab w:val="left" w:pos="1080"/>
        </w:tabs>
        <w:spacing w:line="520" w:lineRule="exact"/>
        <w:ind w:left="0" w:firstLine="435"/>
        <w:rPr>
          <w:rFonts w:ascii="宋体" w:hAnsi="宋体"/>
          <w:szCs w:val="21"/>
        </w:rPr>
      </w:pPr>
      <w:r>
        <w:rPr>
          <w:rFonts w:hint="eastAsia" w:ascii="宋体" w:hAnsi="宋体"/>
          <w:szCs w:val="21"/>
        </w:rPr>
        <w:t>请正确填写《开标一览表》。多包项目请仔细检查包号，包号跟包名称必须一致。</w:t>
      </w:r>
    </w:p>
    <w:p>
      <w:pPr>
        <w:numPr>
          <w:ilvl w:val="0"/>
          <w:numId w:val="1"/>
        </w:numPr>
        <w:tabs>
          <w:tab w:val="left" w:pos="0"/>
          <w:tab w:val="left" w:pos="1080"/>
        </w:tabs>
        <w:spacing w:line="520" w:lineRule="exact"/>
        <w:ind w:left="0" w:firstLine="435"/>
        <w:rPr>
          <w:rFonts w:ascii="宋体" w:hAnsi="宋体"/>
          <w:szCs w:val="21"/>
        </w:rPr>
      </w:pPr>
      <w:r>
        <w:rPr>
          <w:rFonts w:hint="eastAsia" w:ascii="宋体" w:hAnsi="宋体"/>
          <w:szCs w:val="21"/>
        </w:rPr>
        <w:t>请仔细检查《法人授权委托书》、《投标函》、《开标一览表》等重要格式文件是否按要求</w:t>
      </w:r>
      <w:r>
        <w:rPr>
          <w:rFonts w:hint="eastAsia" w:ascii="宋体" w:hAnsi="宋体"/>
          <w:b/>
          <w:szCs w:val="21"/>
        </w:rPr>
        <w:t>盖公章、签字、签署日期</w:t>
      </w:r>
      <w:r>
        <w:rPr>
          <w:rFonts w:hint="eastAsia" w:ascii="宋体" w:hAnsi="宋体"/>
          <w:szCs w:val="21"/>
        </w:rPr>
        <w:t>。</w:t>
      </w:r>
      <w:r>
        <w:rPr>
          <w:rFonts w:hint="eastAsia" w:ascii="宋体" w:hAnsi="宋体"/>
          <w:szCs w:val="21"/>
          <w:lang w:val="en-GB"/>
        </w:rPr>
        <w:t>投标文件需签字之处必须由当事人亲笔签署（如《法人</w:t>
      </w:r>
      <w:r>
        <w:rPr>
          <w:rFonts w:hint="eastAsia" w:ascii="宋体" w:hAnsi="宋体"/>
          <w:szCs w:val="21"/>
        </w:rPr>
        <w:t>授权委托书》必须有法定代表人的签字）。</w:t>
      </w:r>
    </w:p>
    <w:p>
      <w:pPr>
        <w:numPr>
          <w:ilvl w:val="0"/>
          <w:numId w:val="1"/>
        </w:numPr>
        <w:tabs>
          <w:tab w:val="left" w:pos="0"/>
          <w:tab w:val="left" w:pos="1080"/>
        </w:tabs>
        <w:spacing w:line="520" w:lineRule="exact"/>
        <w:ind w:left="0" w:firstLine="435"/>
        <w:rPr>
          <w:rFonts w:ascii="宋体" w:hAnsi="宋体"/>
          <w:szCs w:val="21"/>
        </w:rPr>
      </w:pPr>
      <w:r>
        <w:rPr>
          <w:rFonts w:hint="eastAsia" w:ascii="宋体" w:hAnsi="宋体"/>
          <w:szCs w:val="21"/>
        </w:rPr>
        <w:t>加★号的条款必须一一响应 。</w:t>
      </w:r>
    </w:p>
    <w:p>
      <w:pPr>
        <w:numPr>
          <w:ilvl w:val="0"/>
          <w:numId w:val="1"/>
        </w:numPr>
        <w:tabs>
          <w:tab w:val="left" w:pos="0"/>
          <w:tab w:val="left" w:pos="1080"/>
        </w:tabs>
        <w:spacing w:line="520" w:lineRule="exact"/>
        <w:ind w:left="0" w:firstLine="435"/>
        <w:rPr>
          <w:rFonts w:ascii="宋体" w:hAnsi="宋体"/>
          <w:szCs w:val="21"/>
        </w:rPr>
      </w:pPr>
      <w:r>
        <w:rPr>
          <w:rFonts w:hint="eastAsia" w:ascii="宋体" w:hAnsi="宋体"/>
          <w:szCs w:val="21"/>
        </w:rPr>
        <w:t>投标文件应按顺序编制页码。</w:t>
      </w:r>
    </w:p>
    <w:p>
      <w:pPr>
        <w:numPr>
          <w:ilvl w:val="0"/>
          <w:numId w:val="1"/>
        </w:numPr>
        <w:tabs>
          <w:tab w:val="left" w:pos="0"/>
          <w:tab w:val="left" w:pos="1080"/>
        </w:tabs>
        <w:spacing w:line="520" w:lineRule="exact"/>
        <w:ind w:left="0" w:firstLine="435"/>
        <w:rPr>
          <w:rStyle w:val="88"/>
          <w:rFonts w:ascii="宋体" w:hAnsi="宋体"/>
        </w:rPr>
      </w:pPr>
      <w:r>
        <w:rPr>
          <w:rFonts w:hint="eastAsia" w:ascii="宋体" w:hAnsi="宋体" w:cs="Arial"/>
          <w:szCs w:val="21"/>
        </w:rPr>
        <w:t>非独立法人</w:t>
      </w:r>
      <w:r>
        <w:rPr>
          <w:rStyle w:val="88"/>
          <w:rFonts w:ascii="宋体" w:hAnsi="宋体"/>
        </w:rPr>
        <w:t>分公司投标的，还需提供具有法人资格的</w:t>
      </w:r>
      <w:r>
        <w:rPr>
          <w:rStyle w:val="88"/>
          <w:rFonts w:ascii="宋体" w:hAnsi="宋体"/>
          <w:b/>
        </w:rPr>
        <w:t>总公司营业执照副本复印件及</w:t>
      </w:r>
      <w:r>
        <w:rPr>
          <w:rFonts w:hint="eastAsia" w:ascii="宋体" w:hAnsi="宋体"/>
          <w:b/>
          <w:szCs w:val="21"/>
        </w:rPr>
        <w:t>总公司针对本项目投标的授权书原件</w:t>
      </w:r>
      <w:r>
        <w:rPr>
          <w:rStyle w:val="88"/>
          <w:rFonts w:hint="eastAsia" w:ascii="宋体" w:hAnsi="宋体"/>
          <w:b/>
        </w:rPr>
        <w:t>，授权书须加盖总公司公章</w:t>
      </w:r>
      <w:r>
        <w:rPr>
          <w:rStyle w:val="88"/>
          <w:rFonts w:ascii="宋体" w:hAnsi="宋体"/>
        </w:rPr>
        <w:t>。</w:t>
      </w:r>
    </w:p>
    <w:p>
      <w:pPr>
        <w:spacing w:line="360" w:lineRule="auto"/>
        <w:rPr>
          <w:rFonts w:ascii="宋体" w:hAnsi="宋体" w:cs="仿宋_GB2312"/>
          <w:szCs w:val="21"/>
          <w:lang w:val="zh-CN"/>
        </w:rPr>
      </w:pPr>
    </w:p>
    <w:p>
      <w:pPr>
        <w:spacing w:line="360" w:lineRule="auto"/>
        <w:rPr>
          <w:rFonts w:ascii="宋体" w:hAnsi="宋体" w:cs="仿宋_GB2312"/>
          <w:szCs w:val="21"/>
          <w:lang w:val="zh-CN"/>
        </w:rPr>
      </w:pPr>
      <w:r>
        <w:rPr>
          <w:rFonts w:hint="eastAsia" w:ascii="宋体" w:hAnsi="宋体" w:cs="仿宋_GB2312"/>
          <w:szCs w:val="21"/>
          <w:lang w:val="zh-CN"/>
        </w:rPr>
        <w:t>（本提示内容非招标文件的组成部分，仅为善意提醒。如有不一致，以招标文件为准。）</w:t>
      </w:r>
    </w:p>
    <w:p>
      <w:pPr>
        <w:pStyle w:val="17"/>
        <w:widowControl/>
        <w:spacing w:beforeLines="200" w:afterLines="4000" w:line="360" w:lineRule="auto"/>
        <w:jc w:val="center"/>
        <w:rPr>
          <w:rFonts w:ascii="宋体" w:hAnsi="宋体"/>
          <w:szCs w:val="21"/>
        </w:rPr>
      </w:pPr>
    </w:p>
    <w:p>
      <w:pPr>
        <w:pStyle w:val="17"/>
        <w:widowControl/>
        <w:spacing w:beforeLines="200" w:line="360" w:lineRule="auto"/>
        <w:jc w:val="center"/>
        <w:rPr>
          <w:rFonts w:ascii="宋体" w:hAnsi="宋体"/>
          <w:sz w:val="28"/>
        </w:rPr>
        <w:sectPr>
          <w:headerReference r:id="rId6" w:type="first"/>
          <w:footerReference r:id="rId7" w:type="first"/>
          <w:headerReference r:id="rId5" w:type="default"/>
          <w:pgSz w:w="11907" w:h="16840"/>
          <w:pgMar w:top="1247" w:right="1191" w:bottom="1247" w:left="1191" w:header="851" w:footer="851" w:gutter="0"/>
          <w:pgNumType w:start="1"/>
          <w:cols w:space="720" w:num="1"/>
          <w:docGrid w:linePitch="312" w:charSpace="0"/>
        </w:sectPr>
      </w:pPr>
    </w:p>
    <w:p>
      <w:pPr>
        <w:pStyle w:val="17"/>
        <w:widowControl/>
        <w:spacing w:beforeLines="200" w:line="360" w:lineRule="auto"/>
        <w:jc w:val="center"/>
        <w:rPr>
          <w:rFonts w:ascii="宋体" w:hAnsi="宋体"/>
          <w:sz w:val="28"/>
        </w:rPr>
      </w:pPr>
      <w:r>
        <w:rPr>
          <w:rFonts w:hint="eastAsia" w:ascii="宋体" w:hAnsi="宋体"/>
          <w:sz w:val="28"/>
        </w:rPr>
        <w:t>目  录</w:t>
      </w:r>
    </w:p>
    <w:p>
      <w:pPr>
        <w:pStyle w:val="29"/>
        <w:tabs>
          <w:tab w:val="right" w:leader="dot" w:pos="9515"/>
        </w:tabs>
        <w:rPr>
          <w:rFonts w:ascii="Calibri" w:hAnsi="Calibri"/>
          <w:b w:val="0"/>
          <w:caps w:val="0"/>
          <w:szCs w:val="22"/>
        </w:rPr>
      </w:pPr>
      <w:r>
        <w:rPr>
          <w:rFonts w:hint="eastAsia" w:ascii="宋体" w:hAnsi="宋体"/>
          <w:b w:val="0"/>
          <w:sz w:val="28"/>
        </w:rPr>
        <w:fldChar w:fldCharType="begin"/>
      </w:r>
      <w:r>
        <w:rPr>
          <w:rFonts w:hint="eastAsia" w:ascii="宋体" w:hAnsi="宋体"/>
          <w:b w:val="0"/>
          <w:sz w:val="28"/>
        </w:rPr>
        <w:instrText xml:space="preserve"> TOC \o "1-2" \h \z </w:instrText>
      </w:r>
      <w:r>
        <w:rPr>
          <w:rFonts w:hint="eastAsia" w:ascii="宋体" w:hAnsi="宋体"/>
          <w:b w:val="0"/>
          <w:sz w:val="28"/>
        </w:rPr>
        <w:fldChar w:fldCharType="separate"/>
      </w:r>
      <w:r>
        <w:fldChar w:fldCharType="begin"/>
      </w:r>
      <w:r>
        <w:instrText xml:space="preserve"> HYPERLINK \l "_Toc121326167" </w:instrText>
      </w:r>
      <w:r>
        <w:fldChar w:fldCharType="separate"/>
      </w:r>
      <w:r>
        <w:rPr>
          <w:rStyle w:val="52"/>
          <w:rFonts w:hint="eastAsia"/>
          <w:color w:val="auto"/>
        </w:rPr>
        <w:t>第一章采购公告</w:t>
      </w:r>
      <w:r>
        <w:tab/>
      </w:r>
      <w:r>
        <w:fldChar w:fldCharType="begin"/>
      </w:r>
      <w:r>
        <w:instrText xml:space="preserve"> PAGEREF _Toc121326167 \h </w:instrText>
      </w:r>
      <w:r>
        <w:fldChar w:fldCharType="separate"/>
      </w:r>
      <w:r>
        <w:t>2</w:t>
      </w:r>
      <w:r>
        <w:fldChar w:fldCharType="end"/>
      </w:r>
      <w:r>
        <w:fldChar w:fldCharType="end"/>
      </w:r>
    </w:p>
    <w:p>
      <w:pPr>
        <w:pStyle w:val="29"/>
        <w:tabs>
          <w:tab w:val="right" w:leader="dot" w:pos="9515"/>
        </w:tabs>
        <w:rPr>
          <w:rFonts w:ascii="Calibri" w:hAnsi="Calibri"/>
          <w:b w:val="0"/>
          <w:caps w:val="0"/>
          <w:szCs w:val="22"/>
        </w:rPr>
      </w:pPr>
      <w:r>
        <w:fldChar w:fldCharType="begin"/>
      </w:r>
      <w:r>
        <w:instrText xml:space="preserve"> HYPERLINK \l "_Toc121326168" </w:instrText>
      </w:r>
      <w:r>
        <w:fldChar w:fldCharType="separate"/>
      </w:r>
      <w:r>
        <w:rPr>
          <w:rStyle w:val="52"/>
          <w:rFonts w:hint="eastAsia" w:ascii="宋体" w:hAnsi="宋体"/>
          <w:color w:val="auto"/>
        </w:rPr>
        <w:t>第二章投标人须知</w:t>
      </w:r>
      <w:r>
        <w:tab/>
      </w:r>
      <w:r>
        <w:fldChar w:fldCharType="begin"/>
      </w:r>
      <w:r>
        <w:instrText xml:space="preserve"> PAGEREF _Toc121326168 \h </w:instrText>
      </w:r>
      <w:r>
        <w:fldChar w:fldCharType="separate"/>
      </w:r>
      <w:r>
        <w:t>4</w:t>
      </w:r>
      <w:r>
        <w:fldChar w:fldCharType="end"/>
      </w:r>
      <w:r>
        <w:fldChar w:fldCharType="end"/>
      </w:r>
    </w:p>
    <w:p>
      <w:pPr>
        <w:pStyle w:val="29"/>
        <w:tabs>
          <w:tab w:val="right" w:leader="dot" w:pos="9515"/>
        </w:tabs>
        <w:rPr>
          <w:rFonts w:ascii="Calibri" w:hAnsi="Calibri"/>
          <w:b w:val="0"/>
          <w:caps w:val="0"/>
          <w:szCs w:val="22"/>
        </w:rPr>
      </w:pPr>
      <w:r>
        <w:fldChar w:fldCharType="begin"/>
      </w:r>
      <w:r>
        <w:instrText xml:space="preserve"> HYPERLINK \l "_Toc121326169" </w:instrText>
      </w:r>
      <w:r>
        <w:fldChar w:fldCharType="separate"/>
      </w:r>
      <w:r>
        <w:rPr>
          <w:rStyle w:val="52"/>
          <w:rFonts w:hint="eastAsia"/>
          <w:color w:val="auto"/>
        </w:rPr>
        <w:t>第三章用户需求书</w:t>
      </w:r>
      <w:r>
        <w:tab/>
      </w:r>
      <w:r>
        <w:fldChar w:fldCharType="begin"/>
      </w:r>
      <w:r>
        <w:instrText xml:space="preserve"> PAGEREF _Toc121326169 \h </w:instrText>
      </w:r>
      <w:r>
        <w:fldChar w:fldCharType="separate"/>
      </w:r>
      <w:r>
        <w:t>13</w:t>
      </w:r>
      <w:r>
        <w:fldChar w:fldCharType="end"/>
      </w:r>
      <w:r>
        <w:fldChar w:fldCharType="end"/>
      </w:r>
    </w:p>
    <w:p>
      <w:pPr>
        <w:pStyle w:val="29"/>
        <w:tabs>
          <w:tab w:val="right" w:leader="dot" w:pos="9515"/>
        </w:tabs>
        <w:rPr>
          <w:rFonts w:ascii="Calibri" w:hAnsi="Calibri"/>
          <w:b w:val="0"/>
          <w:caps w:val="0"/>
          <w:szCs w:val="22"/>
        </w:rPr>
      </w:pPr>
      <w:r>
        <w:fldChar w:fldCharType="begin"/>
      </w:r>
      <w:r>
        <w:instrText xml:space="preserve"> HYPERLINK \l "_Toc121326170" </w:instrText>
      </w:r>
      <w:r>
        <w:fldChar w:fldCharType="separate"/>
      </w:r>
      <w:r>
        <w:rPr>
          <w:rStyle w:val="52"/>
          <w:rFonts w:hint="eastAsia" w:ascii="宋体" w:hAnsi="宋体"/>
          <w:color w:val="auto"/>
        </w:rPr>
        <w:t>第四章合同（样本）</w:t>
      </w:r>
      <w:r>
        <w:tab/>
      </w:r>
      <w:r>
        <w:fldChar w:fldCharType="begin"/>
      </w:r>
      <w:r>
        <w:instrText xml:space="preserve"> PAGEREF _Toc121326170 \h </w:instrText>
      </w:r>
      <w:r>
        <w:fldChar w:fldCharType="separate"/>
      </w:r>
      <w:r>
        <w:t>26</w:t>
      </w:r>
      <w:r>
        <w:fldChar w:fldCharType="end"/>
      </w:r>
      <w:r>
        <w:fldChar w:fldCharType="end"/>
      </w:r>
    </w:p>
    <w:p>
      <w:pPr>
        <w:pStyle w:val="29"/>
        <w:tabs>
          <w:tab w:val="right" w:leader="dot" w:pos="9515"/>
        </w:tabs>
        <w:rPr>
          <w:rFonts w:ascii="Calibri" w:hAnsi="Calibri"/>
          <w:b w:val="0"/>
          <w:caps w:val="0"/>
          <w:szCs w:val="22"/>
        </w:rPr>
      </w:pPr>
      <w:r>
        <w:fldChar w:fldCharType="begin"/>
      </w:r>
      <w:r>
        <w:instrText xml:space="preserve"> HYPERLINK \l "_Toc121326171" </w:instrText>
      </w:r>
      <w:r>
        <w:fldChar w:fldCharType="separate"/>
      </w:r>
      <w:r>
        <w:rPr>
          <w:rStyle w:val="52"/>
          <w:rFonts w:hint="eastAsia" w:ascii="宋体" w:hAnsi="宋体"/>
          <w:color w:val="auto"/>
        </w:rPr>
        <w:t>第五章投标文件格式</w:t>
      </w:r>
      <w:r>
        <w:tab/>
      </w:r>
      <w:r>
        <w:fldChar w:fldCharType="begin"/>
      </w:r>
      <w:r>
        <w:instrText xml:space="preserve"> PAGEREF _Toc121326171 \h </w:instrText>
      </w:r>
      <w:r>
        <w:fldChar w:fldCharType="separate"/>
      </w:r>
      <w:r>
        <w:t>42</w:t>
      </w:r>
      <w:r>
        <w:fldChar w:fldCharType="end"/>
      </w:r>
      <w:r>
        <w:fldChar w:fldCharType="end"/>
      </w:r>
    </w:p>
    <w:p>
      <w:pPr>
        <w:pStyle w:val="17"/>
        <w:spacing w:line="520" w:lineRule="exact"/>
        <w:ind w:right="-43"/>
        <w:rPr>
          <w:rFonts w:ascii="宋体" w:hAnsi="宋体"/>
          <w:sz w:val="28"/>
        </w:rPr>
      </w:pPr>
      <w:r>
        <w:rPr>
          <w:rFonts w:hint="eastAsia" w:ascii="宋体" w:hAnsi="宋体"/>
          <w:sz w:val="28"/>
        </w:rPr>
        <w:fldChar w:fldCharType="end"/>
      </w:r>
    </w:p>
    <w:p>
      <w:pPr>
        <w:pStyle w:val="185"/>
        <w:spacing w:before="360"/>
        <w:ind w:left="3544"/>
        <w:rPr>
          <w:rStyle w:val="50"/>
          <w:rFonts w:ascii="Cambria" w:hAnsi="Cambria"/>
          <w:b/>
          <w:kern w:val="0"/>
        </w:rPr>
      </w:pPr>
      <w:bookmarkStart w:id="0" w:name="_Toc438212691"/>
      <w:bookmarkStart w:id="1" w:name="_Toc121326167"/>
      <w:r>
        <w:rPr>
          <w:rStyle w:val="50"/>
          <w:rFonts w:hint="eastAsia" w:ascii="Cambria" w:hAnsi="Cambria"/>
          <w:b/>
          <w:kern w:val="0"/>
        </w:rPr>
        <w:t>第一章</w:t>
      </w:r>
      <w:bookmarkEnd w:id="0"/>
      <w:r>
        <w:rPr>
          <w:rStyle w:val="50"/>
          <w:rFonts w:hint="eastAsia"/>
          <w:b/>
          <w:kern w:val="0"/>
          <w:lang w:val="en-US"/>
        </w:rPr>
        <w:t xml:space="preserve">  </w:t>
      </w:r>
      <w:r>
        <w:rPr>
          <w:rStyle w:val="50"/>
          <w:rFonts w:hint="eastAsia" w:ascii="Cambria" w:hAnsi="Cambria"/>
          <w:b/>
          <w:kern w:val="0"/>
        </w:rPr>
        <w:t>采购公告</w:t>
      </w:r>
      <w:bookmarkEnd w:id="1"/>
    </w:p>
    <w:p>
      <w:pPr>
        <w:spacing w:line="420" w:lineRule="auto"/>
        <w:ind w:firstLine="424" w:firstLineChars="202"/>
        <w:rPr>
          <w:rFonts w:ascii="宋体" w:hAnsi="宋体"/>
        </w:rPr>
      </w:pPr>
    </w:p>
    <w:p>
      <w:pPr>
        <w:ind w:firstLine="424" w:firstLineChars="202"/>
        <w:rPr>
          <w:rFonts w:ascii="宋体" w:hAnsi="宋体"/>
        </w:rPr>
      </w:pPr>
      <w:r>
        <w:rPr>
          <w:rFonts w:hint="eastAsia" w:ascii="宋体" w:hAnsi="宋体"/>
        </w:rPr>
        <w:t>中曜招标股份有限公司</w:t>
      </w:r>
      <w:r>
        <w:rPr>
          <w:rFonts w:ascii="宋体" w:hAnsi="宋体"/>
        </w:rPr>
        <w:t>受</w:t>
      </w:r>
      <w:r>
        <w:rPr>
          <w:rFonts w:hint="eastAsia" w:ascii="宋体" w:hAnsi="宋体"/>
        </w:rPr>
        <w:t>广州市番禺区中心医院</w:t>
      </w:r>
      <w:r>
        <w:rPr>
          <w:rFonts w:ascii="宋体" w:hAnsi="宋体"/>
        </w:rPr>
        <w:t>的委托，</w:t>
      </w:r>
      <w:r>
        <w:rPr>
          <w:rFonts w:hint="eastAsia" w:ascii="宋体" w:hAnsi="宋体"/>
        </w:rPr>
        <w:t>对番禺中心医院医疗集团饭堂委托运营服务采购项目(项目编号：</w:t>
      </w:r>
      <w:r>
        <w:rPr>
          <w:rFonts w:ascii="宋体" w:hAnsi="宋体"/>
        </w:rPr>
        <w:t>ZY140Q2122F29011</w:t>
      </w:r>
      <w:r>
        <w:rPr>
          <w:rFonts w:hint="eastAsia" w:ascii="宋体" w:hAnsi="宋体"/>
        </w:rPr>
        <w:t>)进行公开招标，欢迎符合资格条件的投标人参加投标。</w:t>
      </w:r>
    </w:p>
    <w:p>
      <w:pPr>
        <w:ind w:firstLine="426" w:firstLineChars="202"/>
        <w:rPr>
          <w:rFonts w:ascii="宋体" w:hAnsi="宋体"/>
          <w:b/>
        </w:rPr>
      </w:pPr>
      <w:r>
        <w:rPr>
          <w:rFonts w:hint="eastAsia" w:ascii="宋体" w:hAnsi="宋体"/>
          <w:b/>
        </w:rPr>
        <w:t>一、招标项目简介：</w:t>
      </w:r>
    </w:p>
    <w:p>
      <w:pPr>
        <w:ind w:firstLine="424" w:firstLineChars="202"/>
        <w:rPr>
          <w:rFonts w:ascii="宋体" w:hAnsi="宋体"/>
        </w:rPr>
      </w:pPr>
      <w:r>
        <w:rPr>
          <w:rFonts w:hint="eastAsia" w:ascii="宋体" w:hAnsi="宋体"/>
        </w:rPr>
        <w:t>（一）项目名称：番禺中心医院医疗集团饭堂委托</w:t>
      </w:r>
      <w:bookmarkStart w:id="98" w:name="_GoBack"/>
      <w:bookmarkEnd w:id="98"/>
      <w:r>
        <w:rPr>
          <w:rFonts w:hint="eastAsia" w:ascii="宋体" w:hAnsi="宋体"/>
        </w:rPr>
        <w:t>运营服务采购项目</w:t>
      </w:r>
    </w:p>
    <w:p>
      <w:pPr>
        <w:ind w:firstLine="424" w:firstLineChars="202"/>
        <w:rPr>
          <w:rFonts w:asciiTheme="minorEastAsia" w:hAnsiTheme="minorEastAsia" w:eastAsiaTheme="minorEastAsia"/>
          <w:bCs/>
          <w:szCs w:val="21"/>
        </w:rPr>
      </w:pPr>
      <w:r>
        <w:rPr>
          <w:rFonts w:hint="eastAsia" w:ascii="宋体" w:hAnsi="宋体"/>
        </w:rPr>
        <w:t>（二）项目内容：</w:t>
      </w:r>
      <w:r>
        <w:rPr>
          <w:rFonts w:hint="eastAsia" w:asciiTheme="minorEastAsia" w:hAnsiTheme="minorEastAsia" w:eastAsiaTheme="minorEastAsia"/>
          <w:bCs/>
          <w:szCs w:val="21"/>
        </w:rPr>
        <w:t>番禺中心医院医疗集团包括广州市番禺区中心医院（院本部）及广州市番禺区第七人民医院（东院区），两个院区分别设置了饭堂，现对两个饭堂的委托运营服务进行整体招标确定一家运营服务商，供应商必须同时就项目整体进行投标，不得分拆。中标供应商需分别与广州市番禺区中心医院及广州市番禺区第七人民医院签订合同。</w:t>
      </w:r>
      <w:r>
        <w:rPr>
          <w:rFonts w:asciiTheme="minorEastAsia" w:hAnsiTheme="minorEastAsia" w:eastAsiaTheme="minorEastAsia"/>
          <w:bCs/>
          <w:szCs w:val="21"/>
        </w:rPr>
        <w:t>详细要求请参阅本招标文件的第</w:t>
      </w:r>
      <w:r>
        <w:rPr>
          <w:rFonts w:hint="eastAsia" w:asciiTheme="minorEastAsia" w:hAnsiTheme="minorEastAsia" w:eastAsiaTheme="minorEastAsia"/>
          <w:bCs/>
          <w:szCs w:val="21"/>
        </w:rPr>
        <w:t>三</w:t>
      </w:r>
      <w:r>
        <w:rPr>
          <w:rFonts w:asciiTheme="minorEastAsia" w:hAnsiTheme="minorEastAsia" w:eastAsiaTheme="minorEastAsia"/>
          <w:bCs/>
          <w:szCs w:val="21"/>
        </w:rPr>
        <w:t>章“用户需求书”</w:t>
      </w:r>
      <w:r>
        <w:rPr>
          <w:rFonts w:hint="eastAsia" w:asciiTheme="minorEastAsia" w:hAnsiTheme="minorEastAsia" w:eastAsiaTheme="minorEastAsia"/>
          <w:bCs/>
          <w:szCs w:val="21"/>
        </w:rPr>
        <w:t>。</w:t>
      </w:r>
    </w:p>
    <w:p>
      <w:pPr>
        <w:autoSpaceDE w:val="0"/>
        <w:autoSpaceDN w:val="0"/>
        <w:ind w:firstLine="420" w:firstLineChars="200"/>
        <w:rPr>
          <w:rFonts w:ascii="宋体" w:hAnsi="宋体"/>
          <w:szCs w:val="21"/>
        </w:rPr>
      </w:pPr>
      <w:r>
        <w:rPr>
          <w:rFonts w:hint="eastAsia" w:ascii="宋体" w:hAnsi="宋体"/>
          <w:szCs w:val="21"/>
        </w:rPr>
        <w:t>（三）资金来源：其他</w:t>
      </w:r>
    </w:p>
    <w:p>
      <w:pPr>
        <w:autoSpaceDE w:val="0"/>
        <w:autoSpaceDN w:val="0"/>
        <w:ind w:firstLine="422" w:firstLineChars="200"/>
        <w:rPr>
          <w:rFonts w:ascii="宋体" w:hAnsi="宋体"/>
          <w:b/>
          <w:szCs w:val="21"/>
        </w:rPr>
      </w:pPr>
      <w:r>
        <w:rPr>
          <w:rFonts w:hint="eastAsia" w:ascii="宋体" w:hAnsi="宋体"/>
          <w:b/>
          <w:szCs w:val="21"/>
        </w:rPr>
        <w:t>二、投标人资格要求：</w:t>
      </w:r>
    </w:p>
    <w:p>
      <w:pPr>
        <w:autoSpaceDE w:val="0"/>
        <w:autoSpaceDN w:val="0"/>
        <w:ind w:firstLine="420" w:firstLineChars="200"/>
        <w:rPr>
          <w:rFonts w:ascii="宋体" w:hAnsi="宋体"/>
          <w:szCs w:val="21"/>
        </w:rPr>
      </w:pPr>
      <w:r>
        <w:rPr>
          <w:rFonts w:hint="eastAsia" w:ascii="宋体" w:hAnsi="宋体"/>
          <w:szCs w:val="21"/>
        </w:rPr>
        <w:t>（一）投标人须符合：</w:t>
      </w:r>
    </w:p>
    <w:p>
      <w:pPr>
        <w:autoSpaceDE w:val="0"/>
        <w:autoSpaceDN w:val="0"/>
        <w:ind w:firstLine="420" w:firstLineChars="200"/>
        <w:rPr>
          <w:rFonts w:ascii="宋体" w:hAnsi="宋体"/>
          <w:szCs w:val="21"/>
        </w:rPr>
      </w:pPr>
      <w:r>
        <w:rPr>
          <w:rFonts w:hint="eastAsia" w:ascii="宋体" w:hAnsi="宋体"/>
          <w:szCs w:val="21"/>
        </w:rPr>
        <w:t>①具有独立承担民事责任的能力（提供在中华人民共和国注册的法人或其他组织的营业执照或事业单位法人证书或社会团体法人登记证书复印件，如投标人为自然人的，需提供自然人身份证明复印件；如国家另有规定的，则从其规定）；</w:t>
      </w:r>
    </w:p>
    <w:p>
      <w:pPr>
        <w:autoSpaceDE w:val="0"/>
        <w:autoSpaceDN w:val="0"/>
        <w:ind w:firstLine="420" w:firstLineChars="200"/>
        <w:rPr>
          <w:rFonts w:ascii="宋体" w:hAnsi="宋体"/>
          <w:szCs w:val="21"/>
        </w:rPr>
      </w:pPr>
      <w:r>
        <w:rPr>
          <w:rFonts w:hint="eastAsia" w:ascii="宋体" w:hAnsi="宋体"/>
          <w:szCs w:val="21"/>
        </w:rPr>
        <w:t>②具有良好的商业信誉和健全的财务会计制度；</w:t>
      </w:r>
      <w:r>
        <w:rPr>
          <w:rFonts w:hint="eastAsia" w:ascii="宋体" w:hAnsi="宋体" w:cs="宋体"/>
          <w:szCs w:val="21"/>
        </w:rPr>
        <w:t>（提供证明文件复印件或承诺函）</w:t>
      </w:r>
    </w:p>
    <w:p>
      <w:pPr>
        <w:autoSpaceDE w:val="0"/>
        <w:autoSpaceDN w:val="0"/>
        <w:ind w:firstLine="420" w:firstLineChars="200"/>
        <w:rPr>
          <w:rFonts w:ascii="宋体" w:hAnsi="宋体"/>
          <w:szCs w:val="21"/>
        </w:rPr>
      </w:pPr>
      <w:r>
        <w:rPr>
          <w:rFonts w:hint="eastAsia" w:ascii="宋体" w:hAnsi="宋体"/>
          <w:szCs w:val="21"/>
        </w:rPr>
        <w:t>③具有履行合同所必需的设备和专业技术能力；</w:t>
      </w:r>
      <w:r>
        <w:rPr>
          <w:rFonts w:hint="eastAsia" w:ascii="宋体" w:hAnsi="宋体" w:cs="宋体"/>
          <w:szCs w:val="21"/>
        </w:rPr>
        <w:t>（提供证明文件复印件或承诺函）</w:t>
      </w:r>
    </w:p>
    <w:p>
      <w:pPr>
        <w:autoSpaceDE w:val="0"/>
        <w:autoSpaceDN w:val="0"/>
        <w:ind w:firstLine="420" w:firstLineChars="200"/>
        <w:rPr>
          <w:rFonts w:ascii="宋体" w:hAnsi="宋体"/>
          <w:szCs w:val="21"/>
        </w:rPr>
      </w:pPr>
      <w:r>
        <w:rPr>
          <w:rFonts w:hint="eastAsia" w:ascii="宋体" w:hAnsi="宋体"/>
          <w:szCs w:val="21"/>
        </w:rPr>
        <w:t xml:space="preserve">④有依法缴纳税收和社会保障资金的良好记录； </w:t>
      </w:r>
      <w:r>
        <w:rPr>
          <w:rFonts w:hint="eastAsia" w:ascii="宋体" w:hAnsi="宋体" w:cs="宋体"/>
          <w:szCs w:val="21"/>
        </w:rPr>
        <w:t>（提供证明文件复印件或承诺函）</w:t>
      </w:r>
    </w:p>
    <w:p>
      <w:pPr>
        <w:autoSpaceDE w:val="0"/>
        <w:autoSpaceDN w:val="0"/>
        <w:ind w:firstLine="420" w:firstLineChars="200"/>
        <w:rPr>
          <w:rFonts w:ascii="宋体" w:hAnsi="宋体"/>
          <w:szCs w:val="21"/>
        </w:rPr>
      </w:pPr>
      <w:r>
        <w:rPr>
          <w:rFonts w:hint="eastAsia" w:ascii="宋体" w:hAnsi="宋体"/>
          <w:szCs w:val="21"/>
        </w:rPr>
        <w:t>⑤参加招标活动前三年内，在经营活动中没有重大违法记录；</w:t>
      </w:r>
      <w:r>
        <w:rPr>
          <w:rFonts w:hint="eastAsia" w:ascii="宋体" w:hAnsi="宋体" w:cs="宋体"/>
          <w:szCs w:val="21"/>
        </w:rPr>
        <w:t>（提供承诺函）</w:t>
      </w:r>
    </w:p>
    <w:p>
      <w:pPr>
        <w:autoSpaceDE w:val="0"/>
        <w:autoSpaceDN w:val="0"/>
        <w:ind w:firstLine="420" w:firstLineChars="200"/>
        <w:rPr>
          <w:rFonts w:ascii="宋体" w:hAnsi="宋体"/>
          <w:szCs w:val="21"/>
        </w:rPr>
      </w:pPr>
      <w:r>
        <w:rPr>
          <w:rFonts w:hint="eastAsia" w:ascii="宋体" w:hAnsi="宋体"/>
          <w:szCs w:val="21"/>
        </w:rPr>
        <w:t>⑥法律、行政法规规定的其他条件。</w:t>
      </w:r>
      <w:r>
        <w:rPr>
          <w:rFonts w:hint="eastAsia" w:ascii="宋体" w:hAnsi="宋体" w:cs="宋体"/>
          <w:szCs w:val="21"/>
        </w:rPr>
        <w:t>（提供承诺函）</w:t>
      </w:r>
    </w:p>
    <w:p>
      <w:pPr>
        <w:autoSpaceDE w:val="0"/>
        <w:autoSpaceDN w:val="0"/>
        <w:ind w:firstLine="420" w:firstLineChars="200"/>
        <w:rPr>
          <w:rFonts w:ascii="宋体" w:hAnsi="宋体"/>
          <w:szCs w:val="21"/>
        </w:rPr>
      </w:pPr>
      <w:r>
        <w:rPr>
          <w:rFonts w:hint="eastAsia" w:ascii="宋体" w:hAnsi="宋体"/>
          <w:szCs w:val="21"/>
        </w:rPr>
        <w:t>（二）单位负责人为同一人或者存在控股、管理关系的不同单位，不得参加同一标段投标或者未划分标段的同一招标项目投标。</w:t>
      </w:r>
      <w:r>
        <w:rPr>
          <w:rFonts w:hint="eastAsia" w:ascii="宋体" w:hAnsi="宋体" w:cs="宋体"/>
          <w:szCs w:val="21"/>
        </w:rPr>
        <w:t>（提供承诺函）</w:t>
      </w:r>
    </w:p>
    <w:p>
      <w:pPr>
        <w:autoSpaceDE w:val="0"/>
        <w:autoSpaceDN w:val="0"/>
        <w:ind w:firstLine="420" w:firstLineChars="200"/>
        <w:rPr>
          <w:rFonts w:ascii="宋体" w:hAnsi="宋体"/>
          <w:szCs w:val="21"/>
        </w:rPr>
      </w:pPr>
      <w:r>
        <w:rPr>
          <w:rFonts w:hint="eastAsia" w:ascii="宋体" w:hAnsi="宋体"/>
          <w:szCs w:val="21"/>
        </w:rPr>
        <w:t>（三）投标人具有有效的《食品经营许可证》（提供证书复印件。如国家另有规定的，则从其规定）。</w:t>
      </w:r>
    </w:p>
    <w:p>
      <w:pPr>
        <w:autoSpaceDE w:val="0"/>
        <w:autoSpaceDN w:val="0"/>
        <w:ind w:firstLine="420" w:firstLineChars="200"/>
        <w:rPr>
          <w:rFonts w:ascii="宋体" w:hAnsi="宋体"/>
          <w:szCs w:val="21"/>
        </w:rPr>
      </w:pPr>
      <w:r>
        <w:rPr>
          <w:rFonts w:hint="eastAsia" w:ascii="宋体" w:hAnsi="宋体"/>
          <w:szCs w:val="21"/>
        </w:rPr>
        <w:t>（四）已在广州产权交易所有限公司官网及阳光采购服务平台办理报名手续的投标人。</w:t>
      </w:r>
    </w:p>
    <w:p>
      <w:pPr>
        <w:autoSpaceDE w:val="0"/>
        <w:autoSpaceDN w:val="0"/>
        <w:ind w:firstLine="420" w:firstLineChars="200"/>
        <w:rPr>
          <w:rFonts w:ascii="宋体" w:hAnsi="宋体"/>
          <w:szCs w:val="21"/>
        </w:rPr>
      </w:pPr>
      <w:r>
        <w:rPr>
          <w:rFonts w:hint="eastAsia" w:ascii="宋体" w:hAnsi="宋体"/>
          <w:szCs w:val="21"/>
        </w:rPr>
        <w:t>（五）本项目不接受联合体投标。</w:t>
      </w:r>
    </w:p>
    <w:p>
      <w:pPr>
        <w:autoSpaceDE w:val="0"/>
        <w:autoSpaceDN w:val="0"/>
        <w:ind w:firstLine="422" w:firstLineChars="200"/>
        <w:rPr>
          <w:rFonts w:ascii="宋体" w:hAnsi="宋体"/>
          <w:b/>
          <w:szCs w:val="21"/>
        </w:rPr>
      </w:pPr>
      <w:r>
        <w:rPr>
          <w:rFonts w:hint="eastAsia" w:ascii="宋体" w:hAnsi="宋体"/>
          <w:b/>
          <w:szCs w:val="21"/>
        </w:rPr>
        <w:t>三、 </w:t>
      </w:r>
      <w:r>
        <w:rPr>
          <w:rFonts w:hint="eastAsia" w:ascii="宋体" w:hAnsi="宋体"/>
          <w:b/>
          <w:bCs/>
          <w:szCs w:val="21"/>
        </w:rPr>
        <w:t>报名及招标文件的获取时间、获取方式、招标文件售价</w:t>
      </w:r>
    </w:p>
    <w:p>
      <w:pPr>
        <w:autoSpaceDE w:val="0"/>
        <w:autoSpaceDN w:val="0"/>
        <w:ind w:firstLine="420" w:firstLineChars="200"/>
        <w:rPr>
          <w:rFonts w:ascii="宋体" w:hAnsi="宋体"/>
          <w:szCs w:val="21"/>
        </w:rPr>
      </w:pPr>
      <w:r>
        <w:rPr>
          <w:rFonts w:hint="eastAsia" w:ascii="宋体" w:hAnsi="宋体"/>
          <w:szCs w:val="21"/>
        </w:rPr>
        <w:t>（一）报名及购买招标文件时间：</w:t>
      </w:r>
      <w:r>
        <w:rPr>
          <w:rFonts w:hint="eastAsia" w:ascii="宋体" w:hAnsi="宋体"/>
          <w:bCs/>
          <w:szCs w:val="21"/>
          <w:u w:val="single"/>
        </w:rPr>
        <w:t>2023年</w:t>
      </w:r>
      <w:r>
        <w:rPr>
          <w:rFonts w:hint="eastAsia" w:ascii="宋体" w:hAnsi="宋体"/>
          <w:bCs/>
          <w:szCs w:val="21"/>
          <w:u w:val="single"/>
          <w:lang w:val="en-US" w:eastAsia="zh-CN"/>
        </w:rPr>
        <w:t>1</w:t>
      </w:r>
      <w:r>
        <w:rPr>
          <w:rFonts w:hint="eastAsia" w:ascii="宋体" w:hAnsi="宋体"/>
          <w:bCs/>
          <w:szCs w:val="21"/>
          <w:u w:val="single"/>
        </w:rPr>
        <w:t>月</w:t>
      </w:r>
      <w:r>
        <w:rPr>
          <w:rFonts w:hint="eastAsia" w:ascii="宋体" w:hAnsi="宋体"/>
          <w:bCs/>
          <w:szCs w:val="21"/>
          <w:u w:val="single"/>
          <w:lang w:val="en-US" w:eastAsia="zh-CN"/>
        </w:rPr>
        <w:t>19</w:t>
      </w:r>
      <w:r>
        <w:rPr>
          <w:rFonts w:hint="eastAsia" w:ascii="宋体" w:hAnsi="宋体"/>
          <w:bCs/>
          <w:szCs w:val="21"/>
          <w:u w:val="single"/>
        </w:rPr>
        <w:t>日至2023年</w:t>
      </w:r>
      <w:r>
        <w:rPr>
          <w:rFonts w:hint="eastAsia" w:ascii="宋体" w:hAnsi="宋体"/>
          <w:bCs/>
          <w:szCs w:val="21"/>
          <w:u w:val="single"/>
          <w:lang w:val="en-US" w:eastAsia="zh-CN"/>
        </w:rPr>
        <w:t>1</w:t>
      </w:r>
      <w:r>
        <w:rPr>
          <w:rFonts w:hint="eastAsia" w:ascii="宋体" w:hAnsi="宋体"/>
          <w:bCs/>
          <w:szCs w:val="21"/>
          <w:u w:val="single"/>
        </w:rPr>
        <w:t>月</w:t>
      </w:r>
      <w:r>
        <w:rPr>
          <w:rFonts w:hint="eastAsia" w:ascii="宋体" w:hAnsi="宋体"/>
          <w:bCs/>
          <w:szCs w:val="21"/>
          <w:u w:val="single"/>
          <w:lang w:val="en-US" w:eastAsia="zh-CN"/>
        </w:rPr>
        <w:t>30</w:t>
      </w:r>
      <w:r>
        <w:rPr>
          <w:rFonts w:hint="eastAsia" w:ascii="宋体" w:hAnsi="宋体"/>
          <w:bCs/>
          <w:szCs w:val="21"/>
          <w:u w:val="single"/>
        </w:rPr>
        <w:t>日18:00止。</w:t>
      </w:r>
      <w:r>
        <w:rPr>
          <w:rFonts w:hint="eastAsia" w:ascii="宋体" w:hAnsi="宋体"/>
          <w:szCs w:val="21"/>
        </w:rPr>
        <w:t>（节假日除外）。</w:t>
      </w:r>
    </w:p>
    <w:p>
      <w:pPr>
        <w:autoSpaceDE w:val="0"/>
        <w:autoSpaceDN w:val="0"/>
        <w:ind w:firstLine="420" w:firstLineChars="200"/>
        <w:rPr>
          <w:rFonts w:ascii="宋体" w:hAnsi="宋体"/>
          <w:szCs w:val="21"/>
        </w:rPr>
      </w:pPr>
      <w:r>
        <w:rPr>
          <w:rFonts w:hint="eastAsia" w:ascii="宋体" w:hAnsi="宋体"/>
          <w:szCs w:val="21"/>
        </w:rPr>
        <w:t>（二）报名及获取招标文件方式：</w:t>
      </w:r>
    </w:p>
    <w:p>
      <w:pPr>
        <w:autoSpaceDE w:val="0"/>
        <w:autoSpaceDN w:val="0"/>
        <w:ind w:firstLine="420" w:firstLineChars="200"/>
        <w:rPr>
          <w:rFonts w:ascii="宋体" w:hAnsi="宋体"/>
          <w:szCs w:val="21"/>
        </w:rPr>
      </w:pPr>
      <w:r>
        <w:rPr>
          <w:rFonts w:hint="eastAsia" w:ascii="宋体" w:hAnsi="宋体"/>
          <w:szCs w:val="21"/>
        </w:rPr>
        <w:t>1.投标人须在阳光采购服务平台（下简称“本平台”）注册企业账号并根据平台提示完善企业信息。</w:t>
      </w:r>
    </w:p>
    <w:p>
      <w:pPr>
        <w:autoSpaceDE w:val="0"/>
        <w:autoSpaceDN w:val="0"/>
        <w:ind w:firstLine="420" w:firstLineChars="200"/>
        <w:rPr>
          <w:rFonts w:ascii="宋体" w:hAnsi="宋体"/>
          <w:szCs w:val="21"/>
        </w:rPr>
      </w:pPr>
      <w:r>
        <w:rPr>
          <w:rFonts w:hint="eastAsia" w:ascii="宋体" w:hAnsi="宋体"/>
          <w:szCs w:val="21"/>
        </w:rPr>
        <w:t>2.投标人办理报名手续时，须上传下列相关资料扫描件，并由原件持有方签字、盖公章，标注“此件与原件相符”字样，文本格式详见招标公告附件:</w:t>
      </w:r>
    </w:p>
    <w:p>
      <w:pPr>
        <w:autoSpaceDE w:val="0"/>
        <w:autoSpaceDN w:val="0"/>
        <w:ind w:firstLine="420" w:firstLineChars="200"/>
        <w:rPr>
          <w:rFonts w:ascii="宋体" w:hAnsi="宋体"/>
          <w:szCs w:val="21"/>
        </w:rPr>
      </w:pPr>
      <w:r>
        <w:rPr>
          <w:rFonts w:hint="eastAsia" w:ascii="宋体" w:hAnsi="宋体"/>
          <w:szCs w:val="21"/>
        </w:rPr>
        <w:t>①营业执照、组织机构代码证、税务登记证的复印件（已实行“三证合一”的单位，只须提供新版营业执照即可）。</w:t>
      </w:r>
    </w:p>
    <w:p>
      <w:pPr>
        <w:autoSpaceDE w:val="0"/>
        <w:autoSpaceDN w:val="0"/>
        <w:ind w:firstLine="420" w:firstLineChars="200"/>
        <w:rPr>
          <w:rFonts w:ascii="宋体" w:hAnsi="宋体"/>
          <w:szCs w:val="21"/>
        </w:rPr>
      </w:pPr>
      <w:r>
        <w:rPr>
          <w:rFonts w:hint="eastAsia" w:ascii="宋体" w:hAnsi="宋体"/>
          <w:szCs w:val="21"/>
        </w:rPr>
        <w:t>②法定代表人/负责人身份证明书、授权委托书原件；法定代表人/负责人身份证、受托人身份证复印件（在委托代理情况下）。</w:t>
      </w:r>
    </w:p>
    <w:p>
      <w:pPr>
        <w:autoSpaceDE w:val="0"/>
        <w:autoSpaceDN w:val="0"/>
        <w:ind w:firstLine="420" w:firstLineChars="200"/>
        <w:rPr>
          <w:rFonts w:ascii="宋体" w:hAnsi="宋体"/>
          <w:szCs w:val="21"/>
        </w:rPr>
      </w:pPr>
      <w:r>
        <w:rPr>
          <w:rFonts w:hint="eastAsia" w:ascii="宋体" w:hAnsi="宋体"/>
          <w:szCs w:val="21"/>
        </w:rPr>
        <w:t>3.现场咨询地点：</w:t>
      </w:r>
      <w:r>
        <w:rPr>
          <w:rFonts w:hint="eastAsia" w:ascii="宋体" w:hAnsi="宋体"/>
        </w:rPr>
        <w:t>中曜招标股份有限公司</w:t>
      </w:r>
      <w:r>
        <w:rPr>
          <w:rFonts w:hint="eastAsia" w:ascii="宋体" w:hAnsi="宋体"/>
          <w:szCs w:val="21"/>
        </w:rPr>
        <w:t>（</w:t>
      </w:r>
      <w:r>
        <w:rPr>
          <w:rFonts w:hint="eastAsia" w:ascii="宋体" w:hAnsi="宋体"/>
        </w:rPr>
        <w:t>广州市番禺区南村镇兴业大道南侧(江南工业区一区三横路9号5楼</w:t>
      </w:r>
      <w:r>
        <w:rPr>
          <w:rFonts w:hint="eastAsia" w:ascii="宋体" w:hAnsi="宋体"/>
          <w:szCs w:val="21"/>
        </w:rPr>
        <w:t>）。</w:t>
      </w:r>
    </w:p>
    <w:p>
      <w:pPr>
        <w:autoSpaceDE w:val="0"/>
        <w:autoSpaceDN w:val="0"/>
        <w:ind w:firstLine="420" w:firstLineChars="200"/>
        <w:rPr>
          <w:rFonts w:ascii="宋体" w:hAnsi="宋体"/>
          <w:szCs w:val="21"/>
        </w:rPr>
      </w:pPr>
      <w:r>
        <w:rPr>
          <w:rFonts w:hint="eastAsia" w:ascii="宋体" w:hAnsi="宋体"/>
          <w:szCs w:val="21"/>
        </w:rPr>
        <w:t>4.招标文件：投标人成功办理报名的，自行在本平台下载招标文件。</w:t>
      </w:r>
    </w:p>
    <w:p>
      <w:pPr>
        <w:autoSpaceDE w:val="0"/>
        <w:autoSpaceDN w:val="0"/>
        <w:ind w:firstLine="422" w:firstLineChars="200"/>
        <w:rPr>
          <w:rFonts w:ascii="宋体" w:hAnsi="宋体"/>
          <w:b/>
          <w:szCs w:val="21"/>
        </w:rPr>
      </w:pPr>
      <w:r>
        <w:rPr>
          <w:rFonts w:hint="eastAsia" w:ascii="宋体" w:hAnsi="宋体"/>
          <w:b/>
          <w:szCs w:val="21"/>
        </w:rPr>
        <w:t>四、 </w:t>
      </w:r>
      <w:r>
        <w:rPr>
          <w:rFonts w:hint="eastAsia" w:ascii="宋体" w:hAnsi="宋体"/>
          <w:b/>
          <w:bCs/>
          <w:szCs w:val="21"/>
        </w:rPr>
        <w:t>投标人注意事项</w:t>
      </w:r>
    </w:p>
    <w:p>
      <w:pPr>
        <w:autoSpaceDE w:val="0"/>
        <w:autoSpaceDN w:val="0"/>
        <w:ind w:firstLine="420" w:firstLineChars="200"/>
        <w:rPr>
          <w:rFonts w:ascii="宋体" w:hAnsi="宋体"/>
          <w:szCs w:val="21"/>
        </w:rPr>
      </w:pPr>
      <w:r>
        <w:rPr>
          <w:rFonts w:hint="eastAsia" w:ascii="宋体" w:hAnsi="宋体"/>
          <w:szCs w:val="21"/>
        </w:rPr>
        <w:t>1.本项目一律不接受纸质投标文件，只接受具备法律效力的电子投标文件。投标人参加投标前，应当到电子认证服务机构办理阳光采购服务平台（下简称“本平台”）CA数字证书和电子签章。办理详情请参考以下网址：http://cg.gemas.com.cn/czlc/14951.jhtml（</w:t>
      </w:r>
      <w:r>
        <w:rPr>
          <w:rFonts w:hint="eastAsia" w:ascii="宋体" w:hAnsi="宋体"/>
          <w:b/>
          <w:bCs/>
          <w:szCs w:val="21"/>
        </w:rPr>
        <w:t>注：</w:t>
      </w:r>
      <w:r>
        <w:rPr>
          <w:rFonts w:hint="eastAsia" w:ascii="宋体" w:hAnsi="宋体"/>
          <w:szCs w:val="21"/>
        </w:rPr>
        <w:t>如已办理CA证书，投标前请确认CA有效期。）</w:t>
      </w:r>
    </w:p>
    <w:p>
      <w:pPr>
        <w:autoSpaceDE w:val="0"/>
        <w:autoSpaceDN w:val="0"/>
        <w:ind w:firstLine="420" w:firstLineChars="200"/>
        <w:rPr>
          <w:rFonts w:ascii="宋体" w:hAnsi="宋体"/>
          <w:szCs w:val="21"/>
        </w:rPr>
      </w:pPr>
      <w:r>
        <w:rPr>
          <w:rFonts w:hint="eastAsia" w:ascii="宋体" w:hAnsi="宋体"/>
          <w:szCs w:val="21"/>
        </w:rPr>
        <w:t>2.如更正公告有重新发布电子招标文件的，投标人需使用更正公告后最新发布的电子招标文件来制作电子投标文件。</w:t>
      </w:r>
    </w:p>
    <w:p>
      <w:pPr>
        <w:autoSpaceDE w:val="0"/>
        <w:autoSpaceDN w:val="0"/>
        <w:ind w:firstLine="420" w:firstLineChars="200"/>
        <w:rPr>
          <w:rFonts w:ascii="宋体" w:hAnsi="宋体"/>
          <w:szCs w:val="21"/>
        </w:rPr>
      </w:pPr>
      <w:r>
        <w:rPr>
          <w:rFonts w:hint="eastAsia" w:ascii="宋体" w:hAnsi="宋体"/>
          <w:szCs w:val="21"/>
        </w:rPr>
        <w:t>3.投标人需在提交投标文件截止时间前完整上传电子投标文件，逾期送达或错误投递方式送达的投标文件本平台一概不接收。</w:t>
      </w:r>
    </w:p>
    <w:p>
      <w:pPr>
        <w:autoSpaceDE w:val="0"/>
        <w:autoSpaceDN w:val="0"/>
        <w:ind w:firstLine="420" w:firstLineChars="200"/>
        <w:rPr>
          <w:rFonts w:ascii="宋体" w:hAnsi="宋体"/>
          <w:szCs w:val="21"/>
        </w:rPr>
      </w:pPr>
      <w:r>
        <w:rPr>
          <w:rFonts w:hint="eastAsia" w:ascii="宋体" w:hAnsi="宋体"/>
          <w:szCs w:val="21"/>
        </w:rPr>
        <w:t>4.投标人上传投标文件和解密投标文件应使用IE9及以上浏览器，因投标人浏览器、设备或网络原因导致投标文件上传失败或未按时解密投标文件的本所不承担任何责任。</w:t>
      </w:r>
    </w:p>
    <w:p>
      <w:pPr>
        <w:autoSpaceDE w:val="0"/>
        <w:autoSpaceDN w:val="0"/>
        <w:ind w:firstLine="420" w:firstLineChars="200"/>
        <w:rPr>
          <w:rFonts w:ascii="宋体" w:hAnsi="宋体"/>
          <w:szCs w:val="21"/>
        </w:rPr>
      </w:pPr>
      <w:r>
        <w:rPr>
          <w:rFonts w:hint="eastAsia" w:ascii="宋体" w:hAnsi="宋体"/>
          <w:szCs w:val="21"/>
        </w:rPr>
        <w:t>5.投标人应在投标文件解密时间内尽早解密投标文件，因投标人自身原因造成投标文件未解密的，视为撤销其投标文件；因投标人之外的原因造成投标文件未解密的，视为撤回其投标文件。如解密失败，投标人可在投标文件解密时间内联系本平台。</w:t>
      </w:r>
    </w:p>
    <w:p>
      <w:pPr>
        <w:autoSpaceDE w:val="0"/>
        <w:autoSpaceDN w:val="0"/>
        <w:ind w:firstLine="420" w:firstLineChars="200"/>
        <w:rPr>
          <w:rFonts w:ascii="宋体" w:hAnsi="宋体"/>
          <w:szCs w:val="21"/>
        </w:rPr>
      </w:pPr>
      <w:r>
        <w:rPr>
          <w:rFonts w:hint="eastAsia" w:ascii="宋体" w:hAnsi="宋体"/>
          <w:szCs w:val="21"/>
        </w:rPr>
        <w:t>6.</w:t>
      </w:r>
      <w:r>
        <w:rPr>
          <w:rFonts w:hint="eastAsia" w:ascii="宋体" w:hAnsi="宋体"/>
        </w:rPr>
        <w:t>中曜招标股份有限公司</w:t>
      </w:r>
      <w:r>
        <w:rPr>
          <w:rFonts w:hint="eastAsia" w:ascii="宋体" w:hAnsi="宋体"/>
          <w:szCs w:val="21"/>
        </w:rPr>
        <w:t>为采购代理机构，不对投标人进行项目投标登记时提交的相关资料的真实性负责，如投标人发现相关资料被盗用或复制，应遵循法律途径解决，追究侵权者责任。</w:t>
      </w:r>
    </w:p>
    <w:p>
      <w:pPr>
        <w:autoSpaceDE w:val="0"/>
        <w:autoSpaceDN w:val="0"/>
        <w:ind w:firstLine="420" w:firstLineChars="200"/>
        <w:rPr>
          <w:rFonts w:ascii="宋体" w:hAnsi="宋体"/>
          <w:szCs w:val="21"/>
        </w:rPr>
      </w:pPr>
      <w:r>
        <w:rPr>
          <w:rFonts w:hint="eastAsia" w:ascii="宋体" w:hAnsi="宋体"/>
          <w:szCs w:val="21"/>
        </w:rPr>
        <w:t>7.采购代理机构将不承担投标人准备投标文件和递交投标文件以及参加本次采购活动所发生的任何成本或费用。</w:t>
      </w:r>
    </w:p>
    <w:p>
      <w:pPr>
        <w:autoSpaceDE w:val="0"/>
        <w:autoSpaceDN w:val="0"/>
        <w:ind w:firstLine="422" w:firstLineChars="200"/>
        <w:rPr>
          <w:rFonts w:ascii="宋体" w:hAnsi="宋体"/>
          <w:b/>
          <w:szCs w:val="21"/>
        </w:rPr>
      </w:pPr>
      <w:r>
        <w:rPr>
          <w:rFonts w:hint="eastAsia" w:ascii="宋体" w:hAnsi="宋体"/>
          <w:b/>
          <w:szCs w:val="21"/>
        </w:rPr>
        <w:t>五、</w:t>
      </w:r>
      <w:r>
        <w:rPr>
          <w:rFonts w:hint="eastAsia" w:ascii="宋体" w:hAnsi="宋体"/>
          <w:b/>
          <w:bCs/>
          <w:szCs w:val="21"/>
        </w:rPr>
        <w:t>现场考察及招标答疑会</w:t>
      </w:r>
    </w:p>
    <w:p>
      <w:pPr>
        <w:autoSpaceDE w:val="0"/>
        <w:autoSpaceDN w:val="0"/>
        <w:ind w:firstLine="420" w:firstLineChars="200"/>
        <w:rPr>
          <w:rFonts w:ascii="宋体" w:hAnsi="宋体"/>
          <w:szCs w:val="21"/>
        </w:rPr>
      </w:pPr>
      <w:r>
        <w:rPr>
          <w:rFonts w:hint="eastAsia" w:ascii="宋体" w:hAnsi="宋体"/>
          <w:szCs w:val="21"/>
        </w:rPr>
        <w:t>（一）本项目不举行现场考察活动。</w:t>
      </w:r>
    </w:p>
    <w:p>
      <w:pPr>
        <w:autoSpaceDE w:val="0"/>
        <w:autoSpaceDN w:val="0"/>
        <w:ind w:firstLine="420" w:firstLineChars="200"/>
        <w:rPr>
          <w:rFonts w:ascii="宋体" w:hAnsi="宋体"/>
          <w:szCs w:val="21"/>
        </w:rPr>
      </w:pPr>
      <w:r>
        <w:rPr>
          <w:rFonts w:hint="eastAsia" w:ascii="宋体" w:hAnsi="宋体"/>
          <w:szCs w:val="21"/>
        </w:rPr>
        <w:t>（二）本项目不需要现场招标答疑会。</w:t>
      </w:r>
    </w:p>
    <w:p>
      <w:pPr>
        <w:autoSpaceDE w:val="0"/>
        <w:autoSpaceDN w:val="0"/>
        <w:ind w:firstLine="422" w:firstLineChars="200"/>
        <w:rPr>
          <w:rFonts w:ascii="宋体" w:hAnsi="宋体"/>
          <w:b/>
          <w:szCs w:val="21"/>
        </w:rPr>
      </w:pPr>
      <w:r>
        <w:rPr>
          <w:rFonts w:hint="eastAsia" w:ascii="宋体" w:hAnsi="宋体"/>
          <w:b/>
          <w:szCs w:val="21"/>
        </w:rPr>
        <w:t>六、</w:t>
      </w:r>
      <w:r>
        <w:rPr>
          <w:rFonts w:hint="eastAsia" w:ascii="宋体" w:hAnsi="宋体"/>
          <w:b/>
          <w:bCs/>
          <w:szCs w:val="21"/>
        </w:rPr>
        <w:t>递交投标文件截止时间及开标时间、递交方式、解密时间、开标地点：</w:t>
      </w:r>
    </w:p>
    <w:p>
      <w:pPr>
        <w:autoSpaceDE w:val="0"/>
        <w:autoSpaceDN w:val="0"/>
        <w:ind w:firstLine="420" w:firstLineChars="200"/>
        <w:rPr>
          <w:rFonts w:ascii="宋体" w:hAnsi="宋体"/>
          <w:szCs w:val="21"/>
        </w:rPr>
      </w:pPr>
      <w:r>
        <w:rPr>
          <w:rFonts w:hint="eastAsia" w:ascii="宋体" w:hAnsi="宋体"/>
          <w:szCs w:val="21"/>
        </w:rPr>
        <w:t>（一）递交投标文件截止时间及开标时间：</w:t>
      </w:r>
      <w:r>
        <w:rPr>
          <w:rFonts w:hint="eastAsia" w:ascii="宋体" w:hAnsi="宋体"/>
          <w:b/>
          <w:bCs/>
          <w:szCs w:val="21"/>
          <w:u w:val="single"/>
        </w:rPr>
        <w:t>2023年</w:t>
      </w:r>
      <w:r>
        <w:rPr>
          <w:rFonts w:hint="eastAsia" w:ascii="宋体" w:hAnsi="宋体"/>
          <w:b/>
          <w:bCs/>
          <w:szCs w:val="21"/>
          <w:u w:val="single"/>
          <w:lang w:val="en-US" w:eastAsia="zh-CN"/>
        </w:rPr>
        <w:t>2</w:t>
      </w:r>
      <w:r>
        <w:rPr>
          <w:rFonts w:hint="eastAsia" w:ascii="宋体" w:hAnsi="宋体"/>
          <w:b/>
          <w:bCs/>
          <w:szCs w:val="21"/>
          <w:u w:val="single"/>
        </w:rPr>
        <w:t>月</w:t>
      </w:r>
      <w:r>
        <w:rPr>
          <w:rFonts w:hint="eastAsia" w:ascii="宋体" w:hAnsi="宋体"/>
          <w:b/>
          <w:bCs/>
          <w:szCs w:val="21"/>
          <w:u w:val="single"/>
          <w:lang w:val="en-US" w:eastAsia="zh-CN"/>
        </w:rPr>
        <w:t>13</w:t>
      </w:r>
      <w:r>
        <w:rPr>
          <w:rFonts w:hint="eastAsia" w:ascii="宋体" w:hAnsi="宋体"/>
          <w:b/>
          <w:bCs/>
          <w:szCs w:val="21"/>
          <w:u w:val="single"/>
        </w:rPr>
        <w:t>日</w:t>
      </w:r>
      <w:r>
        <w:rPr>
          <w:rFonts w:hint="eastAsia" w:ascii="宋体" w:hAnsi="宋体"/>
          <w:b/>
          <w:bCs/>
          <w:szCs w:val="21"/>
          <w:u w:val="single"/>
          <w:lang w:eastAsia="zh-CN"/>
        </w:rPr>
        <w:t>上</w:t>
      </w:r>
      <w:r>
        <w:rPr>
          <w:rFonts w:hint="eastAsia" w:ascii="宋体" w:hAnsi="宋体"/>
          <w:b/>
          <w:bCs/>
          <w:szCs w:val="21"/>
          <w:u w:val="single"/>
        </w:rPr>
        <w:t>午</w:t>
      </w:r>
      <w:r>
        <w:rPr>
          <w:rFonts w:hint="eastAsia" w:ascii="宋体" w:hAnsi="宋体"/>
          <w:b/>
          <w:bCs/>
          <w:szCs w:val="21"/>
          <w:u w:val="single"/>
          <w:lang w:val="en-US" w:eastAsia="zh-CN"/>
        </w:rPr>
        <w:t>9</w:t>
      </w:r>
      <w:r>
        <w:rPr>
          <w:rFonts w:hint="eastAsia" w:ascii="宋体" w:hAnsi="宋体"/>
          <w:b/>
          <w:bCs/>
          <w:szCs w:val="21"/>
          <w:u w:val="single"/>
        </w:rPr>
        <w:t>:</w:t>
      </w:r>
      <w:r>
        <w:rPr>
          <w:rFonts w:hint="eastAsia" w:ascii="宋体" w:hAnsi="宋体"/>
          <w:b/>
          <w:bCs/>
          <w:szCs w:val="21"/>
          <w:u w:val="single"/>
          <w:lang w:val="en-US" w:eastAsia="zh-CN"/>
        </w:rPr>
        <w:t>30</w:t>
      </w:r>
      <w:r>
        <w:rPr>
          <w:rFonts w:hint="eastAsia" w:ascii="宋体" w:hAnsi="宋体"/>
          <w:szCs w:val="21"/>
        </w:rPr>
        <w:t>。</w:t>
      </w:r>
    </w:p>
    <w:p>
      <w:pPr>
        <w:autoSpaceDE w:val="0"/>
        <w:autoSpaceDN w:val="0"/>
        <w:ind w:firstLine="420" w:firstLineChars="200"/>
        <w:rPr>
          <w:rFonts w:ascii="宋体" w:hAnsi="宋体"/>
          <w:szCs w:val="21"/>
        </w:rPr>
      </w:pPr>
      <w:r>
        <w:rPr>
          <w:rFonts w:hint="eastAsia" w:ascii="宋体" w:hAnsi="宋体"/>
          <w:szCs w:val="21"/>
        </w:rPr>
        <w:t>（二）递交投标文件方式：在本平台上传电子投标文件。</w:t>
      </w:r>
    </w:p>
    <w:p>
      <w:pPr>
        <w:autoSpaceDE w:val="0"/>
        <w:autoSpaceDN w:val="0"/>
        <w:ind w:firstLine="420" w:firstLineChars="200"/>
        <w:rPr>
          <w:rFonts w:ascii="宋体" w:hAnsi="宋体"/>
          <w:szCs w:val="21"/>
        </w:rPr>
      </w:pPr>
      <w:r>
        <w:rPr>
          <w:rFonts w:hint="eastAsia" w:ascii="宋体" w:hAnsi="宋体"/>
          <w:szCs w:val="21"/>
        </w:rPr>
        <w:t>（三）投标文件解密时间：</w:t>
      </w:r>
      <w:r>
        <w:rPr>
          <w:rFonts w:hint="eastAsia" w:ascii="宋体" w:hAnsi="宋体"/>
          <w:b/>
          <w:bCs/>
          <w:szCs w:val="21"/>
          <w:u w:val="single"/>
        </w:rPr>
        <w:t>2023年</w:t>
      </w:r>
      <w:r>
        <w:rPr>
          <w:rFonts w:hint="eastAsia" w:ascii="宋体" w:hAnsi="宋体"/>
          <w:b/>
          <w:bCs/>
          <w:szCs w:val="21"/>
          <w:u w:val="single"/>
          <w:lang w:val="en-US" w:eastAsia="zh-CN"/>
        </w:rPr>
        <w:t>2</w:t>
      </w:r>
      <w:r>
        <w:rPr>
          <w:rFonts w:hint="eastAsia" w:ascii="宋体" w:hAnsi="宋体"/>
          <w:b/>
          <w:bCs/>
          <w:szCs w:val="21"/>
          <w:u w:val="single"/>
        </w:rPr>
        <w:t>月</w:t>
      </w:r>
      <w:r>
        <w:rPr>
          <w:rFonts w:hint="eastAsia" w:ascii="宋体" w:hAnsi="宋体"/>
          <w:b/>
          <w:bCs/>
          <w:szCs w:val="21"/>
          <w:u w:val="single"/>
          <w:lang w:val="en-US" w:eastAsia="zh-CN"/>
        </w:rPr>
        <w:t>13</w:t>
      </w:r>
      <w:r>
        <w:rPr>
          <w:rFonts w:hint="eastAsia" w:ascii="宋体" w:hAnsi="宋体"/>
          <w:b/>
          <w:bCs/>
          <w:szCs w:val="21"/>
          <w:u w:val="single"/>
        </w:rPr>
        <w:t>日</w:t>
      </w:r>
      <w:r>
        <w:rPr>
          <w:rFonts w:hint="eastAsia" w:ascii="宋体" w:hAnsi="宋体"/>
          <w:b/>
          <w:bCs/>
          <w:szCs w:val="21"/>
          <w:u w:val="single"/>
          <w:lang w:eastAsia="zh-CN"/>
        </w:rPr>
        <w:t>上</w:t>
      </w:r>
      <w:r>
        <w:rPr>
          <w:rFonts w:hint="eastAsia" w:ascii="宋体" w:hAnsi="宋体"/>
          <w:b/>
          <w:bCs/>
          <w:szCs w:val="21"/>
          <w:u w:val="single"/>
        </w:rPr>
        <w:t>午</w:t>
      </w:r>
      <w:r>
        <w:rPr>
          <w:rFonts w:hint="eastAsia" w:ascii="宋体" w:hAnsi="宋体"/>
          <w:b/>
          <w:bCs/>
          <w:szCs w:val="21"/>
          <w:u w:val="single"/>
          <w:lang w:val="en-US" w:eastAsia="zh-CN"/>
        </w:rPr>
        <w:t>9</w:t>
      </w:r>
      <w:r>
        <w:rPr>
          <w:rFonts w:hint="eastAsia" w:ascii="宋体" w:hAnsi="宋体"/>
          <w:b/>
          <w:bCs/>
          <w:szCs w:val="21"/>
          <w:u w:val="single"/>
        </w:rPr>
        <w:t>:</w:t>
      </w:r>
      <w:r>
        <w:rPr>
          <w:rFonts w:hint="eastAsia" w:ascii="宋体" w:hAnsi="宋体"/>
          <w:b/>
          <w:bCs/>
          <w:szCs w:val="21"/>
          <w:u w:val="single"/>
          <w:lang w:val="en-US" w:eastAsia="zh-CN"/>
        </w:rPr>
        <w:t>30</w:t>
      </w:r>
      <w:r>
        <w:rPr>
          <w:rFonts w:hint="eastAsia" w:ascii="宋体" w:hAnsi="宋体"/>
          <w:szCs w:val="21"/>
        </w:rPr>
        <w:t>。逾时解密的投标文件将被确认为无效投标。解密完成后及时公布开标结果，投标人可登录本平台查看开标情况。</w:t>
      </w:r>
    </w:p>
    <w:p>
      <w:pPr>
        <w:autoSpaceDE w:val="0"/>
        <w:autoSpaceDN w:val="0"/>
        <w:ind w:firstLine="420" w:firstLineChars="200"/>
        <w:rPr>
          <w:rFonts w:ascii="宋体" w:hAnsi="宋体"/>
          <w:szCs w:val="21"/>
        </w:rPr>
      </w:pPr>
      <w:r>
        <w:rPr>
          <w:rFonts w:hint="eastAsia" w:ascii="宋体" w:hAnsi="宋体"/>
          <w:szCs w:val="21"/>
        </w:rPr>
        <w:t>（四）开标地点：在线开标。</w:t>
      </w:r>
    </w:p>
    <w:p>
      <w:pPr>
        <w:autoSpaceDE w:val="0"/>
        <w:autoSpaceDN w:val="0"/>
        <w:ind w:firstLine="422" w:firstLineChars="200"/>
        <w:rPr>
          <w:rFonts w:ascii="宋体" w:hAnsi="宋体"/>
          <w:b/>
          <w:szCs w:val="21"/>
        </w:rPr>
      </w:pPr>
      <w:r>
        <w:rPr>
          <w:rFonts w:hint="eastAsia" w:ascii="宋体" w:hAnsi="宋体"/>
          <w:b/>
          <w:szCs w:val="21"/>
        </w:rPr>
        <w:t>七、</w:t>
      </w:r>
      <w:r>
        <w:rPr>
          <w:rFonts w:hint="eastAsia" w:ascii="宋体" w:hAnsi="宋体"/>
          <w:b/>
          <w:bCs/>
          <w:szCs w:val="21"/>
        </w:rPr>
        <w:t>采购信息发布及结果公告网站</w:t>
      </w:r>
    </w:p>
    <w:p>
      <w:pPr>
        <w:ind w:firstLine="424" w:firstLineChars="202"/>
        <w:rPr>
          <w:rFonts w:ascii="宋体" w:hAnsi="宋体"/>
          <w:szCs w:val="21"/>
        </w:rPr>
      </w:pPr>
      <w:r>
        <w:rPr>
          <w:rFonts w:hint="eastAsia" w:ascii="宋体" w:hAnsi="宋体"/>
          <w:szCs w:val="21"/>
        </w:rPr>
        <w:t>阳光采购服务平台门户网站（http://cg.gemas.com.cn/）</w:t>
      </w:r>
    </w:p>
    <w:p>
      <w:pPr>
        <w:ind w:firstLine="424" w:firstLineChars="202"/>
        <w:rPr>
          <w:rFonts w:ascii="宋体" w:hAnsi="宋体"/>
        </w:rPr>
      </w:pPr>
      <w:r>
        <w:rPr>
          <w:rFonts w:hint="eastAsia" w:ascii="宋体" w:hAnsi="宋体"/>
        </w:rPr>
        <w:t>招标代理机构网站（</w:t>
      </w:r>
      <w:r>
        <w:rPr>
          <w:rFonts w:ascii="宋体" w:hAnsi="宋体"/>
        </w:rPr>
        <w:t>http://www.zhongyaodaili.com/</w:t>
      </w:r>
      <w:r>
        <w:rPr>
          <w:rFonts w:hint="eastAsia" w:ascii="宋体" w:hAnsi="宋体"/>
        </w:rPr>
        <w:t>）；</w:t>
      </w:r>
    </w:p>
    <w:p>
      <w:pPr>
        <w:autoSpaceDE w:val="0"/>
        <w:autoSpaceDN w:val="0"/>
        <w:ind w:firstLine="422" w:firstLineChars="200"/>
        <w:rPr>
          <w:rFonts w:ascii="宋体" w:hAnsi="宋体"/>
          <w:b/>
          <w:szCs w:val="21"/>
        </w:rPr>
      </w:pPr>
      <w:r>
        <w:rPr>
          <w:rFonts w:hint="eastAsia" w:ascii="宋体" w:hAnsi="宋体"/>
          <w:b/>
          <w:szCs w:val="21"/>
        </w:rPr>
        <w:t>八、</w:t>
      </w:r>
      <w:r>
        <w:rPr>
          <w:rFonts w:hint="eastAsia" w:ascii="宋体" w:hAnsi="宋体"/>
          <w:b/>
          <w:bCs/>
          <w:szCs w:val="21"/>
        </w:rPr>
        <w:t>招标人名称、地址和联系方式：</w:t>
      </w:r>
    </w:p>
    <w:p>
      <w:pPr>
        <w:rPr>
          <w:rFonts w:ascii="宋体" w:hAnsi="宋体"/>
        </w:rPr>
      </w:pPr>
      <w:r>
        <w:rPr>
          <w:rFonts w:hint="eastAsia" w:ascii="宋体" w:hAnsi="宋体"/>
        </w:rPr>
        <w:t xml:space="preserve">   招标人：</w:t>
      </w:r>
      <w:r>
        <w:rPr>
          <w:rFonts w:hint="eastAsia" w:ascii="宋体" w:hAnsi="宋体"/>
          <w:bCs/>
          <w:szCs w:val="21"/>
        </w:rPr>
        <w:t>广州市番禺区中心医院</w:t>
      </w:r>
    </w:p>
    <w:p>
      <w:pPr>
        <w:ind w:firstLine="315" w:firstLineChars="150"/>
        <w:rPr>
          <w:rFonts w:ascii="宋体" w:hAnsi="宋体"/>
        </w:rPr>
      </w:pPr>
      <w:r>
        <w:rPr>
          <w:rFonts w:hint="eastAsia" w:ascii="宋体" w:hAnsi="宋体"/>
        </w:rPr>
        <w:t>联系地址：广州市番禺区桥南街福愉东路8号</w:t>
      </w:r>
    </w:p>
    <w:p>
      <w:pPr>
        <w:ind w:firstLine="315" w:firstLineChars="150"/>
        <w:rPr>
          <w:rFonts w:ascii="宋体" w:hAnsi="宋体"/>
        </w:rPr>
      </w:pPr>
      <w:r>
        <w:rPr>
          <w:rFonts w:hint="eastAsia" w:ascii="宋体" w:hAnsi="宋体"/>
        </w:rPr>
        <w:t>采购代理机构名称：中曜招标股份有限公司</w:t>
      </w:r>
    </w:p>
    <w:p>
      <w:pPr>
        <w:ind w:firstLine="315" w:firstLineChars="150"/>
        <w:rPr>
          <w:rFonts w:ascii="宋体" w:hAnsi="宋体"/>
        </w:rPr>
      </w:pPr>
      <w:r>
        <w:rPr>
          <w:rFonts w:hint="eastAsia" w:ascii="宋体" w:hAnsi="宋体"/>
        </w:rPr>
        <w:t>联系地址：广州市番禺区南村镇兴业大道南侧(江南工业区一区三横路9号5楼</w:t>
      </w:r>
    </w:p>
    <w:p>
      <w:pPr>
        <w:ind w:firstLine="315" w:firstLineChars="150"/>
        <w:rPr>
          <w:rFonts w:ascii="宋体" w:hAnsi="宋体"/>
        </w:rPr>
      </w:pPr>
      <w:r>
        <w:rPr>
          <w:rFonts w:hint="eastAsia" w:ascii="宋体" w:hAnsi="宋体"/>
        </w:rPr>
        <w:t>招标代理机构联系人：曾工</w:t>
      </w:r>
    </w:p>
    <w:p>
      <w:pPr>
        <w:ind w:firstLine="315" w:firstLineChars="150"/>
        <w:rPr>
          <w:rFonts w:ascii="宋体" w:hAnsi="宋体"/>
        </w:rPr>
      </w:pPr>
      <w:r>
        <w:rPr>
          <w:rFonts w:hint="eastAsia" w:ascii="宋体" w:hAnsi="宋体"/>
        </w:rPr>
        <w:t>电话：020-31192028转819</w:t>
      </w:r>
    </w:p>
    <w:p>
      <w:pPr>
        <w:ind w:firstLine="315" w:firstLineChars="150"/>
        <w:rPr>
          <w:rFonts w:ascii="宋体" w:hAnsi="宋体"/>
        </w:rPr>
      </w:pPr>
      <w:r>
        <w:rPr>
          <w:rFonts w:hint="eastAsia" w:ascii="宋体" w:hAnsi="宋体"/>
        </w:rPr>
        <w:t>E-mail：zyzb888@qq.com</w:t>
      </w:r>
    </w:p>
    <w:p>
      <w:pPr>
        <w:ind w:firstLine="315" w:firstLineChars="150"/>
        <w:rPr>
          <w:rFonts w:ascii="宋体" w:hAnsi="宋体"/>
        </w:rPr>
      </w:pPr>
    </w:p>
    <w:p>
      <w:pPr>
        <w:ind w:firstLine="315" w:firstLineChars="150"/>
        <w:rPr>
          <w:rFonts w:ascii="宋体" w:hAnsi="宋体"/>
        </w:rPr>
      </w:pPr>
    </w:p>
    <w:p>
      <w:pPr>
        <w:ind w:firstLine="315" w:firstLineChars="150"/>
        <w:rPr>
          <w:rFonts w:ascii="宋体" w:hAnsi="宋体"/>
        </w:rPr>
      </w:pPr>
    </w:p>
    <w:p>
      <w:pPr>
        <w:ind w:firstLine="424" w:firstLineChars="202"/>
        <w:jc w:val="right"/>
        <w:rPr>
          <w:rFonts w:ascii="宋体" w:hAnsi="宋体"/>
        </w:rPr>
      </w:pPr>
      <w:r>
        <w:rPr>
          <w:rFonts w:hint="eastAsia" w:ascii="宋体" w:hAnsi="宋体"/>
        </w:rPr>
        <w:t>招标人：</w:t>
      </w:r>
      <w:r>
        <w:rPr>
          <w:rFonts w:hint="eastAsia" w:ascii="宋体" w:hAnsi="宋体" w:cs="宋体"/>
          <w:szCs w:val="21"/>
        </w:rPr>
        <w:t>广州市番禺区中心医院</w:t>
      </w:r>
    </w:p>
    <w:p>
      <w:pPr>
        <w:ind w:firstLine="424" w:firstLineChars="202"/>
        <w:jc w:val="right"/>
        <w:rPr>
          <w:rFonts w:ascii="宋体" w:hAnsi="宋体"/>
        </w:rPr>
      </w:pPr>
      <w:r>
        <w:rPr>
          <w:rFonts w:hint="eastAsia" w:ascii="宋体" w:hAnsi="宋体"/>
        </w:rPr>
        <w:t>招标代理机构：中曜招标股份有限公司</w:t>
      </w:r>
    </w:p>
    <w:p>
      <w:pPr>
        <w:ind w:firstLine="424" w:firstLineChars="202"/>
        <w:jc w:val="right"/>
        <w:rPr>
          <w:rFonts w:ascii="宋体" w:hAnsi="宋体"/>
        </w:rPr>
      </w:pPr>
      <w:r>
        <w:rPr>
          <w:rFonts w:hint="eastAsia" w:ascii="宋体" w:hAnsi="宋体"/>
        </w:rPr>
        <w:t>2023年1月</w:t>
      </w:r>
      <w:r>
        <w:rPr>
          <w:rFonts w:hint="eastAsia" w:ascii="宋体" w:hAnsi="宋体"/>
          <w:lang w:val="en-US" w:eastAsia="zh-CN"/>
        </w:rPr>
        <w:t>18</w:t>
      </w:r>
      <w:r>
        <w:rPr>
          <w:rFonts w:hint="eastAsia" w:ascii="宋体" w:hAnsi="宋体"/>
        </w:rPr>
        <w:t xml:space="preserve"> 日</w:t>
      </w:r>
    </w:p>
    <w:p>
      <w:pPr>
        <w:pStyle w:val="185"/>
        <w:spacing w:before="360"/>
        <w:ind w:left="3544"/>
        <w:rPr>
          <w:rStyle w:val="50"/>
          <w:rFonts w:ascii="宋体" w:hAnsi="宋体"/>
          <w:b/>
        </w:rPr>
      </w:pPr>
      <w:bookmarkStart w:id="2" w:name="_Hlt320260422"/>
      <w:bookmarkEnd w:id="2"/>
      <w:bookmarkStart w:id="3" w:name="_Toc121326168"/>
      <w:bookmarkStart w:id="4" w:name="_Toc398196946"/>
      <w:r>
        <w:rPr>
          <w:rStyle w:val="50"/>
          <w:rFonts w:hint="eastAsia" w:ascii="宋体" w:hAnsi="宋体"/>
          <w:b/>
        </w:rPr>
        <w:t>第二章  投标人须知</w:t>
      </w:r>
      <w:bookmarkEnd w:id="3"/>
      <w:bookmarkEnd w:id="4"/>
    </w:p>
    <w:p>
      <w:pPr>
        <w:pStyle w:val="4"/>
        <w:numPr>
          <w:ilvl w:val="2"/>
          <w:numId w:val="0"/>
        </w:numPr>
        <w:spacing w:before="0" w:after="0" w:line="310" w:lineRule="exact"/>
        <w:ind w:firstLine="413" w:firstLineChars="196"/>
        <w:rPr>
          <w:sz w:val="21"/>
          <w:szCs w:val="21"/>
        </w:rPr>
      </w:pPr>
      <w:r>
        <w:rPr>
          <w:rFonts w:hint="eastAsia"/>
          <w:sz w:val="21"/>
          <w:szCs w:val="21"/>
        </w:rPr>
        <w:t>一、定义</w:t>
      </w:r>
    </w:p>
    <w:p>
      <w:pPr>
        <w:pStyle w:val="101"/>
        <w:numPr>
          <w:ilvl w:val="0"/>
          <w:numId w:val="2"/>
        </w:numPr>
        <w:tabs>
          <w:tab w:val="left" w:pos="735"/>
          <w:tab w:val="left" w:pos="1254"/>
        </w:tabs>
        <w:spacing w:line="330" w:lineRule="exact"/>
        <w:ind w:left="0" w:firstLine="424" w:firstLineChars="201"/>
        <w:rPr>
          <w:rFonts w:ascii="宋体" w:hAnsi="宋体" w:cs="宋体"/>
          <w:b/>
          <w:sz w:val="21"/>
          <w:szCs w:val="21"/>
        </w:rPr>
      </w:pPr>
      <w:r>
        <w:rPr>
          <w:rFonts w:hint="eastAsia" w:ascii="宋体" w:hAnsi="宋体" w:cs="宋体"/>
          <w:b/>
          <w:sz w:val="21"/>
          <w:szCs w:val="21"/>
        </w:rPr>
        <w:t>适用范围</w:t>
      </w:r>
    </w:p>
    <w:p>
      <w:pPr>
        <w:pStyle w:val="101"/>
        <w:numPr>
          <w:ilvl w:val="1"/>
          <w:numId w:val="2"/>
        </w:numPr>
        <w:tabs>
          <w:tab w:val="left" w:pos="709"/>
          <w:tab w:val="left" w:pos="735"/>
        </w:tabs>
        <w:spacing w:line="330" w:lineRule="exact"/>
        <w:ind w:left="0" w:firstLine="422" w:firstLineChars="201"/>
        <w:rPr>
          <w:rFonts w:ascii="宋体" w:hAnsi="宋体" w:cs="宋体"/>
          <w:sz w:val="21"/>
          <w:szCs w:val="21"/>
        </w:rPr>
      </w:pPr>
      <w:r>
        <w:rPr>
          <w:rFonts w:hint="eastAsia" w:ascii="宋体" w:hAnsi="宋体" w:cs="宋体"/>
          <w:sz w:val="21"/>
          <w:szCs w:val="21"/>
        </w:rPr>
        <w:t>本招标文件仅适用于本次招标所叙述的货物/服务采购。</w:t>
      </w:r>
    </w:p>
    <w:p>
      <w:pPr>
        <w:pStyle w:val="101"/>
        <w:numPr>
          <w:ilvl w:val="1"/>
          <w:numId w:val="2"/>
        </w:numPr>
        <w:tabs>
          <w:tab w:val="left" w:pos="709"/>
          <w:tab w:val="left" w:pos="735"/>
        </w:tabs>
        <w:spacing w:line="330" w:lineRule="exact"/>
        <w:ind w:left="0" w:firstLine="422" w:firstLineChars="201"/>
        <w:rPr>
          <w:rFonts w:ascii="宋体" w:hAnsi="宋体" w:cs="宋体"/>
          <w:sz w:val="21"/>
          <w:szCs w:val="21"/>
        </w:rPr>
      </w:pPr>
      <w:r>
        <w:rPr>
          <w:rFonts w:hint="eastAsia" w:ascii="宋体" w:hAnsi="宋体" w:cs="宋体"/>
          <w:sz w:val="21"/>
          <w:szCs w:val="21"/>
        </w:rPr>
        <w:t>本招标文件的解释权归招标人和采购代理机构所有。</w:t>
      </w:r>
    </w:p>
    <w:p>
      <w:pPr>
        <w:tabs>
          <w:tab w:val="left" w:pos="735"/>
          <w:tab w:val="left" w:pos="1254"/>
        </w:tabs>
        <w:spacing w:line="310" w:lineRule="exact"/>
        <w:ind w:firstLine="422" w:firstLineChars="200"/>
        <w:rPr>
          <w:rFonts w:ascii="宋体" w:hAnsi="宋体"/>
          <w:b/>
          <w:szCs w:val="21"/>
        </w:rPr>
      </w:pPr>
      <w:r>
        <w:rPr>
          <w:rFonts w:hint="eastAsia" w:ascii="宋体" w:hAnsi="宋体"/>
          <w:b/>
          <w:szCs w:val="21"/>
        </w:rPr>
        <w:t>2.定义</w:t>
      </w:r>
    </w:p>
    <w:p>
      <w:pPr>
        <w:tabs>
          <w:tab w:val="left" w:pos="735"/>
          <w:tab w:val="left" w:pos="1254"/>
        </w:tabs>
        <w:spacing w:line="310" w:lineRule="exact"/>
        <w:ind w:firstLine="420" w:firstLineChars="200"/>
        <w:rPr>
          <w:rFonts w:ascii="宋体" w:hAnsi="宋体"/>
          <w:szCs w:val="21"/>
        </w:rPr>
      </w:pPr>
      <w:r>
        <w:rPr>
          <w:rFonts w:hint="eastAsia" w:ascii="宋体" w:hAnsi="宋体"/>
          <w:szCs w:val="21"/>
        </w:rPr>
        <w:t>2.1“招标人/采购人”系指</w:t>
      </w:r>
      <w:r>
        <w:rPr>
          <w:rFonts w:hint="eastAsia" w:ascii="宋体" w:hAnsi="宋体"/>
        </w:rPr>
        <w:t>广州市番禺区中心医院</w:t>
      </w:r>
      <w:r>
        <w:rPr>
          <w:rFonts w:hint="eastAsia" w:ascii="宋体" w:hAnsi="宋体"/>
          <w:szCs w:val="21"/>
        </w:rPr>
        <w:t>。</w:t>
      </w:r>
    </w:p>
    <w:p>
      <w:pPr>
        <w:tabs>
          <w:tab w:val="left" w:pos="735"/>
          <w:tab w:val="left" w:pos="1254"/>
        </w:tabs>
        <w:spacing w:line="310" w:lineRule="exact"/>
        <w:ind w:firstLine="420" w:firstLineChars="200"/>
        <w:rPr>
          <w:rFonts w:ascii="宋体" w:hAnsi="宋体"/>
          <w:szCs w:val="21"/>
        </w:rPr>
      </w:pPr>
      <w:r>
        <w:rPr>
          <w:rFonts w:hint="eastAsia" w:ascii="宋体" w:hAnsi="宋体"/>
          <w:szCs w:val="21"/>
        </w:rPr>
        <w:t>2.2“招标代理机构</w:t>
      </w:r>
      <w:r>
        <w:rPr>
          <w:rFonts w:ascii="宋体" w:hAnsi="宋体"/>
          <w:szCs w:val="21"/>
        </w:rPr>
        <w:t>”</w:t>
      </w:r>
      <w:r>
        <w:rPr>
          <w:rFonts w:hint="eastAsia" w:ascii="宋体" w:hAnsi="宋体"/>
          <w:szCs w:val="21"/>
        </w:rPr>
        <w:t>系指</w:t>
      </w:r>
      <w:r>
        <w:rPr>
          <w:rFonts w:hint="eastAsia" w:ascii="宋体" w:hAnsi="宋体"/>
          <w:kern w:val="28"/>
          <w:szCs w:val="21"/>
        </w:rPr>
        <w:t>中曜招标股份有限公司</w:t>
      </w:r>
      <w:r>
        <w:rPr>
          <w:rFonts w:hint="eastAsia" w:ascii="宋体" w:hAnsi="宋体"/>
          <w:szCs w:val="21"/>
        </w:rPr>
        <w:t>。</w:t>
      </w:r>
    </w:p>
    <w:p>
      <w:pPr>
        <w:tabs>
          <w:tab w:val="left" w:pos="735"/>
          <w:tab w:val="left" w:pos="1254"/>
        </w:tabs>
        <w:spacing w:line="310" w:lineRule="exact"/>
        <w:ind w:firstLine="420" w:firstLineChars="200"/>
        <w:rPr>
          <w:rFonts w:ascii="宋体" w:hAnsi="宋体"/>
          <w:szCs w:val="21"/>
        </w:rPr>
      </w:pPr>
      <w:r>
        <w:rPr>
          <w:rFonts w:hint="eastAsia" w:ascii="宋体" w:hAnsi="宋体"/>
          <w:szCs w:val="21"/>
        </w:rPr>
        <w:t>2.3“投标人/供应商/投标单位”系指符合招标文件中投标人资格条件的并向招标代理机构提交投标文件的法人、其他组织。</w:t>
      </w:r>
    </w:p>
    <w:p>
      <w:pPr>
        <w:tabs>
          <w:tab w:val="left" w:pos="735"/>
          <w:tab w:val="left" w:pos="1254"/>
        </w:tabs>
        <w:spacing w:line="310" w:lineRule="exact"/>
        <w:ind w:firstLine="420" w:firstLineChars="200"/>
        <w:rPr>
          <w:rFonts w:ascii="宋体" w:hAnsi="宋体"/>
          <w:szCs w:val="21"/>
        </w:rPr>
      </w:pPr>
      <w:r>
        <w:rPr>
          <w:rFonts w:hint="eastAsia" w:ascii="宋体" w:hAnsi="宋体"/>
          <w:szCs w:val="21"/>
        </w:rPr>
        <w:t>2.4“甲方”系指</w:t>
      </w:r>
      <w:r>
        <w:rPr>
          <w:rFonts w:hint="eastAsia" w:ascii="宋体" w:hAnsi="宋体"/>
        </w:rPr>
        <w:t>广州市番禺区中心医院</w:t>
      </w:r>
      <w:r>
        <w:rPr>
          <w:rFonts w:hint="eastAsia" w:ascii="宋体" w:hAnsi="宋体"/>
          <w:szCs w:val="21"/>
        </w:rPr>
        <w:t>。</w:t>
      </w:r>
    </w:p>
    <w:p>
      <w:pPr>
        <w:tabs>
          <w:tab w:val="left" w:pos="735"/>
          <w:tab w:val="left" w:pos="1254"/>
        </w:tabs>
        <w:spacing w:line="310" w:lineRule="exact"/>
        <w:ind w:firstLine="420" w:firstLineChars="200"/>
        <w:rPr>
          <w:rFonts w:ascii="宋体" w:hAnsi="宋体"/>
          <w:szCs w:val="21"/>
        </w:rPr>
      </w:pPr>
      <w:r>
        <w:rPr>
          <w:rFonts w:hint="eastAsia" w:ascii="宋体" w:hAnsi="宋体"/>
          <w:szCs w:val="21"/>
        </w:rPr>
        <w:t>2.5“乙方”系指中标人/运营商。</w:t>
      </w:r>
    </w:p>
    <w:p>
      <w:pPr>
        <w:tabs>
          <w:tab w:val="left" w:pos="735"/>
          <w:tab w:val="left" w:pos="1254"/>
        </w:tabs>
        <w:spacing w:line="310" w:lineRule="exact"/>
        <w:ind w:firstLine="420" w:firstLineChars="200"/>
        <w:rPr>
          <w:rFonts w:ascii="宋体" w:hAnsi="宋体"/>
          <w:szCs w:val="21"/>
        </w:rPr>
      </w:pPr>
      <w:r>
        <w:rPr>
          <w:rFonts w:hint="eastAsia" w:ascii="宋体" w:hAnsi="宋体"/>
          <w:szCs w:val="21"/>
        </w:rPr>
        <w:t>2.6“中标人”系指经评标委员会评审推荐、招标人确认的获得本项目中标资格的投标人。</w:t>
      </w:r>
    </w:p>
    <w:p>
      <w:pPr>
        <w:autoSpaceDE w:val="0"/>
        <w:autoSpaceDN w:val="0"/>
        <w:spacing w:line="310" w:lineRule="exact"/>
        <w:ind w:left="420" w:leftChars="200"/>
        <w:rPr>
          <w:rFonts w:ascii="宋体" w:hAnsi="宋体"/>
          <w:b/>
          <w:szCs w:val="21"/>
        </w:rPr>
      </w:pPr>
      <w:r>
        <w:rPr>
          <w:rFonts w:hint="eastAsia" w:ascii="宋体" w:hAnsi="宋体"/>
          <w:b/>
          <w:szCs w:val="21"/>
        </w:rPr>
        <w:t>3.重要说明</w:t>
      </w:r>
    </w:p>
    <w:p>
      <w:pPr>
        <w:tabs>
          <w:tab w:val="left" w:pos="735"/>
          <w:tab w:val="left" w:pos="1254"/>
        </w:tabs>
        <w:spacing w:line="310" w:lineRule="exact"/>
        <w:ind w:firstLine="420" w:firstLineChars="200"/>
        <w:rPr>
          <w:rFonts w:ascii="宋体" w:hAnsi="宋体"/>
        </w:rPr>
      </w:pPr>
      <w:r>
        <w:rPr>
          <w:rFonts w:hint="eastAsia" w:ascii="宋体" w:hAnsi="宋体"/>
        </w:rPr>
        <w:t>本招标文件中带</w:t>
      </w:r>
      <w:r>
        <w:rPr>
          <w:rFonts w:hint="eastAsia" w:ascii="宋体" w:hAnsi="宋体"/>
          <w:szCs w:val="21"/>
        </w:rPr>
        <w:t>“★”</w:t>
      </w:r>
      <w:r>
        <w:rPr>
          <w:rFonts w:hint="eastAsia" w:ascii="宋体" w:hAnsi="宋体"/>
        </w:rPr>
        <w:t>号的条款是重要条款，投标人必须完全响应，若有一项带“★”的指标未响应或不满足，将按投标无效处理。</w:t>
      </w:r>
    </w:p>
    <w:p>
      <w:pPr>
        <w:tabs>
          <w:tab w:val="left" w:pos="525"/>
          <w:tab w:val="left" w:pos="567"/>
          <w:tab w:val="left" w:pos="630"/>
        </w:tabs>
        <w:spacing w:line="310" w:lineRule="exact"/>
        <w:ind w:firstLine="422" w:firstLineChars="200"/>
        <w:outlineLvl w:val="3"/>
        <w:rPr>
          <w:rFonts w:ascii="宋体" w:hAnsi="宋体"/>
          <w:b/>
          <w:szCs w:val="21"/>
        </w:rPr>
      </w:pPr>
      <w:r>
        <w:rPr>
          <w:rFonts w:hint="eastAsia" w:ascii="宋体" w:hAnsi="宋体"/>
          <w:b/>
          <w:szCs w:val="21"/>
        </w:rPr>
        <w:t>4.</w:t>
      </w:r>
      <w:bookmarkStart w:id="5" w:name="_Toc264616632"/>
      <w:r>
        <w:rPr>
          <w:rFonts w:hint="eastAsia" w:ascii="宋体" w:hAnsi="宋体"/>
          <w:b/>
          <w:szCs w:val="21"/>
        </w:rPr>
        <w:t>合格的货物和服务</w:t>
      </w:r>
      <w:bookmarkEnd w:id="5"/>
    </w:p>
    <w:p>
      <w:pPr>
        <w:spacing w:line="310" w:lineRule="exact"/>
        <w:ind w:firstLine="420" w:firstLineChars="200"/>
        <w:rPr>
          <w:rFonts w:ascii="宋体" w:hAnsi="宋体"/>
        </w:rPr>
      </w:pPr>
      <w:r>
        <w:rPr>
          <w:rFonts w:hint="eastAsia" w:ascii="宋体" w:hAnsi="宋体"/>
        </w:rPr>
        <w:t>4</w:t>
      </w:r>
      <w:r>
        <w:rPr>
          <w:rFonts w:ascii="宋体" w:hAnsi="宋体"/>
        </w:rPr>
        <w:t>.</w:t>
      </w:r>
      <w:r>
        <w:rPr>
          <w:rFonts w:hint="eastAsia" w:ascii="宋体" w:hAnsi="宋体"/>
        </w:rPr>
        <w:t>1</w:t>
      </w:r>
      <w:r>
        <w:rPr>
          <w:rFonts w:ascii="宋体" w:hAnsi="宋体"/>
        </w:rPr>
        <w:t>“</w:t>
      </w:r>
      <w:r>
        <w:rPr>
          <w:rFonts w:hint="eastAsia" w:ascii="宋体" w:hAnsi="宋体"/>
        </w:rPr>
        <w:t>货物/设备</w:t>
      </w:r>
      <w:r>
        <w:rPr>
          <w:rFonts w:ascii="宋体" w:hAnsi="宋体"/>
        </w:rPr>
        <w:t>”</w:t>
      </w:r>
      <w:r>
        <w:rPr>
          <w:rFonts w:hint="eastAsia" w:ascii="宋体" w:hAnsi="宋体"/>
        </w:rPr>
        <w:t>系指投标人制造或组织符合招标文件要求的货物等。投标的货物必须是其合法生产、合法来源的符合国家有关标准要求的货物，并满足招标文件规定的规格、参数、质量、价格、有效期、售后服务等要求。</w:t>
      </w:r>
    </w:p>
    <w:p>
      <w:pPr>
        <w:spacing w:line="310" w:lineRule="exact"/>
        <w:ind w:firstLine="420" w:firstLineChars="200"/>
        <w:rPr>
          <w:rFonts w:ascii="宋体" w:hAnsi="宋体"/>
        </w:rPr>
      </w:pPr>
      <w:r>
        <w:rPr>
          <w:rFonts w:hint="eastAsia" w:ascii="宋体" w:hAnsi="宋体"/>
        </w:rPr>
        <w:t>4.2“服务”系指投标人须承担的运输、安装、技术支持、培训以及招标文件规定的其它伴随服务。</w:t>
      </w:r>
    </w:p>
    <w:p>
      <w:pPr>
        <w:spacing w:line="310" w:lineRule="exact"/>
        <w:ind w:firstLine="420" w:firstLineChars="200"/>
        <w:rPr>
          <w:rFonts w:ascii="宋体" w:hAnsi="宋体"/>
        </w:rPr>
      </w:pPr>
      <w:r>
        <w:rPr>
          <w:rFonts w:hint="eastAsia" w:ascii="宋体" w:hAnsi="宋体"/>
        </w:rPr>
        <w:t>4.3 投标人</w:t>
      </w:r>
      <w:r>
        <w:rPr>
          <w:rFonts w:ascii="宋体" w:hAnsi="宋体"/>
        </w:rPr>
        <w:t>提供的所有货物和服务，其质量、技术等特征必须符合国家、行业现行的标准及招标人需求。</w:t>
      </w:r>
    </w:p>
    <w:p>
      <w:pPr>
        <w:spacing w:line="310" w:lineRule="exact"/>
        <w:ind w:firstLine="420" w:firstLineChars="200"/>
        <w:rPr>
          <w:rFonts w:ascii="宋体" w:hAnsi="宋体"/>
        </w:rPr>
      </w:pPr>
      <w:r>
        <w:rPr>
          <w:rFonts w:hint="eastAsia" w:ascii="宋体" w:hAnsi="宋体"/>
        </w:rPr>
        <w:t>4.4</w:t>
      </w:r>
      <w:r>
        <w:rPr>
          <w:rFonts w:ascii="宋体" w:hAnsi="宋体"/>
        </w:rPr>
        <w:t>招标人将拒绝接受不合格的货物和服务，由此产生的费用及相关后果均由</w:t>
      </w:r>
      <w:r>
        <w:rPr>
          <w:rFonts w:hint="eastAsia" w:ascii="宋体" w:hAnsi="宋体"/>
        </w:rPr>
        <w:t>投标人</w:t>
      </w:r>
      <w:r>
        <w:rPr>
          <w:rFonts w:ascii="宋体" w:hAnsi="宋体"/>
        </w:rPr>
        <w:t>自行承担。</w:t>
      </w:r>
    </w:p>
    <w:p>
      <w:pPr>
        <w:spacing w:line="310" w:lineRule="exact"/>
        <w:ind w:firstLine="420" w:firstLineChars="200"/>
        <w:rPr>
          <w:rFonts w:ascii="宋体" w:hAnsi="宋体"/>
        </w:rPr>
      </w:pPr>
      <w:r>
        <w:rPr>
          <w:rFonts w:hint="eastAsia" w:ascii="宋体" w:hAnsi="宋体"/>
        </w:rPr>
        <w:t>4.5投标人应保证本项目下提供的服务或其任何一部分不会因第三方依法享有的专利权、商标权或其他知识产权产生侵权；如果投标人不拥有相应的知识产权，则须在报价中包括合法获取该知识产权的相关费用，并在投标文件中附有相关证明文件，如因第三方提出其专利权、商标权或其他知识产权的侵权之诉讼，则一切法律责任由</w:t>
      </w:r>
      <w:r>
        <w:rPr>
          <w:rFonts w:hint="eastAsia" w:ascii="宋体" w:hAnsi="宋体" w:cs="宋体"/>
        </w:rPr>
        <w:t>投标人</w:t>
      </w:r>
      <w:r>
        <w:rPr>
          <w:rFonts w:hint="eastAsia" w:ascii="宋体" w:hAnsi="宋体"/>
        </w:rPr>
        <w:t>承担。</w:t>
      </w:r>
    </w:p>
    <w:p>
      <w:pPr>
        <w:spacing w:line="310" w:lineRule="exact"/>
        <w:ind w:firstLine="422" w:firstLineChars="200"/>
        <w:rPr>
          <w:rFonts w:ascii="宋体" w:hAnsi="宋体"/>
          <w:b/>
          <w:szCs w:val="21"/>
        </w:rPr>
      </w:pPr>
      <w:r>
        <w:rPr>
          <w:rFonts w:hint="eastAsia" w:ascii="宋体" w:hAnsi="宋体"/>
          <w:b/>
          <w:szCs w:val="21"/>
        </w:rPr>
        <w:t>5.关于投标费用</w:t>
      </w:r>
    </w:p>
    <w:p>
      <w:pPr>
        <w:spacing w:line="310" w:lineRule="exact"/>
        <w:ind w:firstLine="420" w:firstLineChars="200"/>
        <w:rPr>
          <w:rFonts w:ascii="宋体" w:hAnsi="宋体"/>
        </w:rPr>
      </w:pPr>
      <w:r>
        <w:rPr>
          <w:rFonts w:hint="eastAsia" w:ascii="宋体" w:hAnsi="宋体"/>
        </w:rPr>
        <w:t>投标人应承担所有与准备和参加投标有关的费用。不论投标的结果如何，招标代理机构和招标人均无义务和责任承担这些费用。</w:t>
      </w:r>
    </w:p>
    <w:p>
      <w:pPr>
        <w:spacing w:line="310" w:lineRule="exact"/>
        <w:ind w:firstLine="422" w:firstLineChars="200"/>
        <w:rPr>
          <w:rFonts w:ascii="宋体" w:hAnsi="宋体"/>
          <w:b/>
          <w:szCs w:val="21"/>
        </w:rPr>
      </w:pPr>
      <w:r>
        <w:rPr>
          <w:rFonts w:hint="eastAsia" w:ascii="宋体" w:hAnsi="宋体"/>
          <w:b/>
          <w:szCs w:val="21"/>
        </w:rPr>
        <w:t>6.纪律与保密事项</w:t>
      </w:r>
    </w:p>
    <w:p>
      <w:pPr>
        <w:spacing w:line="310" w:lineRule="exact"/>
        <w:ind w:firstLine="420" w:firstLineChars="200"/>
        <w:rPr>
          <w:rFonts w:ascii="宋体" w:hAnsi="宋体"/>
          <w:szCs w:val="21"/>
        </w:rPr>
      </w:pPr>
      <w:r>
        <w:rPr>
          <w:rFonts w:hint="eastAsia" w:ascii="宋体" w:hAnsi="宋体"/>
          <w:szCs w:val="21"/>
        </w:rPr>
        <w:t>6.1凡参与招标工作的有关人员均应自觉接受有关主管部门的监督，不得向他人透露可能影响公平竞争的有关招标投标的其他情况。</w:t>
      </w:r>
    </w:p>
    <w:p>
      <w:pPr>
        <w:spacing w:line="310" w:lineRule="exact"/>
        <w:ind w:firstLine="420" w:firstLineChars="200"/>
        <w:rPr>
          <w:rFonts w:ascii="宋体" w:hAnsi="宋体"/>
          <w:szCs w:val="21"/>
        </w:rPr>
      </w:pPr>
      <w:r>
        <w:rPr>
          <w:rFonts w:hint="eastAsia" w:ascii="宋体" w:hAnsi="宋体"/>
          <w:szCs w:val="21"/>
        </w:rPr>
        <w:t>6.2</w:t>
      </w:r>
      <w:r>
        <w:rPr>
          <w:rFonts w:hint="eastAsia" w:ascii="宋体" w:hAnsi="宋体"/>
        </w:rPr>
        <w:t>开标</w:t>
      </w:r>
      <w:r>
        <w:rPr>
          <w:rFonts w:hint="eastAsia" w:ascii="宋体" w:hAnsi="宋体"/>
          <w:szCs w:val="21"/>
        </w:rPr>
        <w:t>后，直至向中标的投标人发出《中标通知书》时止，凡与审查、澄清、评价和比较投标的有关资料以及授标意见等，均不得向投标人及与评标无关的其他人透露。</w:t>
      </w:r>
    </w:p>
    <w:p>
      <w:pPr>
        <w:spacing w:line="310" w:lineRule="exact"/>
        <w:ind w:firstLine="420" w:firstLineChars="200"/>
        <w:rPr>
          <w:rFonts w:ascii="宋体" w:hAnsi="宋体"/>
          <w:szCs w:val="21"/>
        </w:rPr>
      </w:pPr>
      <w:r>
        <w:rPr>
          <w:rFonts w:hint="eastAsia" w:ascii="宋体" w:hAnsi="宋体"/>
          <w:szCs w:val="21"/>
        </w:rPr>
        <w:t>6.3从开标之日起至授予合同期间，投标人不得在投标文件审查、澄清、比较和评价时对评标委员会和招标代理机构施加任何影响或对招标人的比较及授予合同的决定进行影响。</w:t>
      </w:r>
    </w:p>
    <w:p>
      <w:pPr>
        <w:spacing w:line="310" w:lineRule="exact"/>
        <w:ind w:firstLine="420" w:firstLineChars="200"/>
        <w:rPr>
          <w:rFonts w:ascii="宋体" w:hAnsi="宋体"/>
          <w:szCs w:val="21"/>
        </w:rPr>
      </w:pPr>
      <w:r>
        <w:rPr>
          <w:rFonts w:hint="eastAsia" w:ascii="宋体" w:hAnsi="宋体"/>
          <w:szCs w:val="21"/>
        </w:rPr>
        <w:t>6.4投标人</w:t>
      </w:r>
      <w:r>
        <w:rPr>
          <w:rFonts w:hint="eastAsia" w:ascii="宋体" w:hAnsi="宋体"/>
        </w:rPr>
        <w:t>不得</w:t>
      </w:r>
      <w:r>
        <w:rPr>
          <w:rFonts w:hint="eastAsia" w:ascii="宋体" w:hAnsi="宋体"/>
          <w:szCs w:val="21"/>
        </w:rPr>
        <w:t>串通作弊，以不正当手段妨碍、排挤其他投标人，扰乱招标市场，破坏公平竞争原则。</w:t>
      </w:r>
    </w:p>
    <w:p>
      <w:pPr>
        <w:spacing w:line="310" w:lineRule="exact"/>
        <w:ind w:firstLine="420" w:firstLineChars="200"/>
        <w:rPr>
          <w:rFonts w:ascii="宋体" w:hAnsi="宋体"/>
          <w:szCs w:val="21"/>
        </w:rPr>
      </w:pPr>
      <w:r>
        <w:rPr>
          <w:rFonts w:hint="eastAsia" w:ascii="宋体" w:hAnsi="宋体"/>
          <w:szCs w:val="21"/>
        </w:rPr>
        <w:t>6.5获得本招标文件者，应对文件进行保密，不得用作本次投标以外的任何用途。</w:t>
      </w:r>
    </w:p>
    <w:p>
      <w:pPr>
        <w:spacing w:line="310" w:lineRule="exact"/>
        <w:ind w:firstLine="422" w:firstLineChars="200"/>
        <w:rPr>
          <w:rFonts w:ascii="宋体" w:hAnsi="宋体"/>
          <w:b/>
          <w:szCs w:val="21"/>
        </w:rPr>
      </w:pPr>
      <w:r>
        <w:rPr>
          <w:rFonts w:hint="eastAsia" w:ascii="宋体" w:hAnsi="宋体"/>
          <w:b/>
          <w:szCs w:val="21"/>
        </w:rPr>
        <w:t>7.投标人知悉</w:t>
      </w:r>
    </w:p>
    <w:p>
      <w:pPr>
        <w:spacing w:line="310" w:lineRule="exact"/>
        <w:ind w:firstLine="420" w:firstLineChars="200"/>
        <w:rPr>
          <w:rFonts w:ascii="宋体" w:hAnsi="宋体"/>
          <w:szCs w:val="21"/>
        </w:rPr>
      </w:pPr>
      <w:r>
        <w:rPr>
          <w:rFonts w:hint="eastAsia" w:ascii="宋体" w:hAnsi="宋体"/>
          <w:szCs w:val="21"/>
        </w:rPr>
        <w:t>7.1凡响应本次招标的投标人均被视为已充分认识和理解了任何与本项目有关的影响事项和困难等情况。</w:t>
      </w:r>
    </w:p>
    <w:p>
      <w:pPr>
        <w:spacing w:line="310" w:lineRule="exact"/>
        <w:ind w:firstLine="420" w:firstLineChars="200"/>
        <w:rPr>
          <w:rFonts w:ascii="宋体" w:hAnsi="宋体"/>
        </w:rPr>
      </w:pPr>
      <w:r>
        <w:rPr>
          <w:rFonts w:hint="eastAsia" w:ascii="宋体" w:hAnsi="宋体"/>
          <w:szCs w:val="21"/>
        </w:rPr>
        <w:t>7.2投标人</w:t>
      </w:r>
      <w:r>
        <w:rPr>
          <w:rFonts w:hint="eastAsia" w:ascii="宋体" w:hAnsi="宋体"/>
        </w:rPr>
        <w:t>应该</w:t>
      </w:r>
      <w:r>
        <w:rPr>
          <w:rFonts w:hint="eastAsia" w:ascii="宋体" w:hAnsi="宋体"/>
          <w:szCs w:val="21"/>
        </w:rPr>
        <w:t>考虑</w:t>
      </w:r>
      <w:r>
        <w:rPr>
          <w:rFonts w:hint="eastAsia" w:ascii="宋体" w:hAnsi="宋体"/>
        </w:rPr>
        <w:t>本项目整个方案各种配置的完整性，</w:t>
      </w:r>
      <w:r>
        <w:rPr>
          <w:rFonts w:ascii="宋体" w:hAnsi="宋体"/>
          <w:szCs w:val="21"/>
        </w:rPr>
        <w:t>对于属于整套系统的完整性及正常使用而需要的安装材料、部件及附属部件，即使</w:t>
      </w:r>
      <w:r>
        <w:rPr>
          <w:rFonts w:hint="eastAsia" w:ascii="宋体" w:hAnsi="宋体"/>
          <w:szCs w:val="21"/>
        </w:rPr>
        <w:t>在施工中遇到由于招标清单中未列到的设备、材料或由于数量有出入时，投标人均要无条件给予补充和完善，确保系统的完整性。</w:t>
      </w:r>
      <w:r>
        <w:rPr>
          <w:rFonts w:hint="eastAsia" w:ascii="宋体" w:hAnsi="宋体"/>
        </w:rPr>
        <w:t>如果有遗漏项，投标人有责任补充清单中的遗漏项，并且，对于中标后提出的补漏项目，招标人不考虑增加费用，中标人应该免费</w:t>
      </w:r>
      <w:r>
        <w:rPr>
          <w:rFonts w:hint="eastAsia" w:ascii="宋体" w:hAnsi="宋体"/>
          <w:szCs w:val="21"/>
        </w:rPr>
        <w:t>提供</w:t>
      </w:r>
      <w:r>
        <w:rPr>
          <w:rFonts w:hint="eastAsia" w:ascii="宋体" w:hAnsi="宋体"/>
        </w:rPr>
        <w:t>缺漏项及服务。</w:t>
      </w:r>
    </w:p>
    <w:p>
      <w:pPr>
        <w:spacing w:line="310" w:lineRule="exact"/>
        <w:ind w:firstLine="422" w:firstLineChars="200"/>
        <w:rPr>
          <w:rFonts w:ascii="宋体" w:hAnsi="宋体"/>
          <w:b/>
          <w:szCs w:val="21"/>
        </w:rPr>
      </w:pPr>
      <w:r>
        <w:rPr>
          <w:rFonts w:hint="eastAsia" w:ascii="宋体" w:hAnsi="宋体"/>
          <w:b/>
          <w:szCs w:val="21"/>
        </w:rPr>
        <w:t>8.招标文件解释权</w:t>
      </w:r>
    </w:p>
    <w:p>
      <w:pPr>
        <w:spacing w:line="310" w:lineRule="exact"/>
        <w:ind w:firstLine="420" w:firstLineChars="200"/>
        <w:rPr>
          <w:rFonts w:ascii="宋体" w:hAnsi="宋体"/>
          <w:szCs w:val="21"/>
        </w:rPr>
      </w:pPr>
      <w:r>
        <w:rPr>
          <w:rFonts w:hint="eastAsia" w:ascii="宋体" w:hAnsi="宋体"/>
          <w:szCs w:val="21"/>
        </w:rPr>
        <w:t>招标文件的最终解释权归招标人、招标代理机构所有。</w:t>
      </w:r>
    </w:p>
    <w:p>
      <w:pPr>
        <w:spacing w:line="310" w:lineRule="exact"/>
        <w:ind w:firstLine="413" w:firstLineChars="196"/>
        <w:rPr>
          <w:rFonts w:ascii="宋体" w:hAnsi="宋体"/>
          <w:b/>
          <w:szCs w:val="21"/>
        </w:rPr>
      </w:pPr>
      <w:bookmarkStart w:id="6" w:name="_Toc49082410"/>
      <w:bookmarkStart w:id="7" w:name="_Toc49135196"/>
      <w:r>
        <w:rPr>
          <w:rFonts w:hint="eastAsia" w:ascii="宋体" w:hAnsi="宋体"/>
          <w:b/>
          <w:szCs w:val="21"/>
        </w:rPr>
        <w:t>三、招标文件</w:t>
      </w:r>
      <w:bookmarkEnd w:id="6"/>
      <w:bookmarkEnd w:id="7"/>
    </w:p>
    <w:p>
      <w:pPr>
        <w:spacing w:line="310" w:lineRule="exact"/>
        <w:ind w:firstLine="422" w:firstLineChars="200"/>
        <w:rPr>
          <w:rFonts w:ascii="宋体" w:hAnsi="宋体"/>
          <w:b/>
          <w:szCs w:val="21"/>
        </w:rPr>
      </w:pPr>
      <w:r>
        <w:rPr>
          <w:rFonts w:hint="eastAsia" w:ascii="宋体" w:hAnsi="宋体"/>
          <w:b/>
          <w:szCs w:val="21"/>
        </w:rPr>
        <w:t>1.招标文件的组成</w:t>
      </w:r>
    </w:p>
    <w:p>
      <w:pPr>
        <w:spacing w:line="310" w:lineRule="exact"/>
        <w:ind w:firstLine="420" w:firstLineChars="200"/>
        <w:rPr>
          <w:rFonts w:ascii="宋体" w:hAnsi="宋体"/>
          <w:szCs w:val="21"/>
        </w:rPr>
      </w:pPr>
      <w:r>
        <w:rPr>
          <w:rFonts w:hint="eastAsia" w:ascii="宋体" w:hAnsi="宋体"/>
          <w:szCs w:val="21"/>
        </w:rPr>
        <w:t>1.1采购公告</w:t>
      </w:r>
    </w:p>
    <w:p>
      <w:pPr>
        <w:spacing w:line="310" w:lineRule="exact"/>
        <w:ind w:firstLine="420" w:firstLineChars="200"/>
        <w:rPr>
          <w:rFonts w:ascii="宋体" w:hAnsi="宋体"/>
          <w:szCs w:val="21"/>
        </w:rPr>
      </w:pPr>
      <w:r>
        <w:rPr>
          <w:rFonts w:hint="eastAsia" w:ascii="宋体" w:hAnsi="宋体"/>
          <w:szCs w:val="21"/>
        </w:rPr>
        <w:t>1.2投标人须知</w:t>
      </w:r>
    </w:p>
    <w:p>
      <w:pPr>
        <w:spacing w:line="310" w:lineRule="exact"/>
        <w:ind w:firstLine="420" w:firstLineChars="200"/>
        <w:rPr>
          <w:rFonts w:ascii="宋体" w:hAnsi="宋体"/>
          <w:szCs w:val="21"/>
        </w:rPr>
      </w:pPr>
      <w:r>
        <w:rPr>
          <w:rFonts w:hint="eastAsia" w:ascii="宋体" w:hAnsi="宋体"/>
          <w:szCs w:val="21"/>
        </w:rPr>
        <w:t xml:space="preserve">1.3用户需求书 </w:t>
      </w:r>
    </w:p>
    <w:p>
      <w:pPr>
        <w:spacing w:line="310" w:lineRule="exact"/>
        <w:ind w:firstLine="420" w:firstLineChars="200"/>
        <w:rPr>
          <w:rFonts w:ascii="宋体" w:hAnsi="宋体"/>
          <w:szCs w:val="21"/>
        </w:rPr>
      </w:pPr>
      <w:r>
        <w:rPr>
          <w:rFonts w:hint="eastAsia" w:ascii="宋体" w:hAnsi="宋体"/>
          <w:szCs w:val="21"/>
        </w:rPr>
        <w:t>1.4合同（样本）</w:t>
      </w:r>
    </w:p>
    <w:p>
      <w:pPr>
        <w:spacing w:line="310" w:lineRule="exact"/>
        <w:ind w:firstLine="420" w:firstLineChars="200"/>
        <w:rPr>
          <w:rFonts w:ascii="宋体" w:hAnsi="宋体"/>
          <w:szCs w:val="21"/>
        </w:rPr>
      </w:pPr>
      <w:r>
        <w:rPr>
          <w:rFonts w:hint="eastAsia" w:ascii="宋体" w:hAnsi="宋体"/>
          <w:szCs w:val="21"/>
        </w:rPr>
        <w:t>1.5投标文件格式</w:t>
      </w:r>
    </w:p>
    <w:p>
      <w:pPr>
        <w:spacing w:line="310" w:lineRule="exact"/>
        <w:ind w:firstLine="420" w:firstLineChars="200"/>
        <w:rPr>
          <w:rFonts w:ascii="宋体" w:hAnsi="宋体"/>
          <w:szCs w:val="21"/>
        </w:rPr>
      </w:pPr>
      <w:r>
        <w:rPr>
          <w:rFonts w:hint="eastAsia" w:ascii="宋体" w:hAnsi="宋体"/>
          <w:szCs w:val="21"/>
        </w:rPr>
        <w:t>1.6在招标过程中由招标代理机构发出的修正和补充文件等</w:t>
      </w:r>
    </w:p>
    <w:p>
      <w:pPr>
        <w:spacing w:line="310" w:lineRule="exact"/>
        <w:ind w:firstLine="422" w:firstLineChars="200"/>
        <w:rPr>
          <w:rFonts w:ascii="宋体" w:hAnsi="宋体"/>
          <w:b/>
          <w:szCs w:val="21"/>
        </w:rPr>
      </w:pPr>
      <w:r>
        <w:rPr>
          <w:rFonts w:hint="eastAsia" w:ascii="宋体" w:hAnsi="宋体"/>
          <w:b/>
          <w:szCs w:val="21"/>
        </w:rPr>
        <w:t>2.招标文件的澄清</w:t>
      </w:r>
      <w:r>
        <w:rPr>
          <w:rFonts w:hint="eastAsia" w:ascii="宋体" w:hAnsi="宋体"/>
          <w:b/>
        </w:rPr>
        <w:t>及修改</w:t>
      </w:r>
    </w:p>
    <w:p>
      <w:pPr>
        <w:spacing w:line="310" w:lineRule="exact"/>
        <w:ind w:firstLine="420" w:firstLineChars="200"/>
        <w:rPr>
          <w:rFonts w:ascii="宋体" w:hAnsi="宋体"/>
        </w:rPr>
      </w:pPr>
      <w:r>
        <w:rPr>
          <w:rFonts w:hint="eastAsia" w:ascii="宋体" w:hAnsi="宋体"/>
        </w:rPr>
        <w:t>2.1招标人可以对已发出的招标文件进行必要的澄清或者修改。澄清或者修改的内容可能影响投标文件编制的，招标人应当在投标截止时间至少15日前，以书面形式通知所有获取招标文件的潜在投标人；不足15日的，招标人应当顺延提交投标文件的截止时间。</w:t>
      </w:r>
    </w:p>
    <w:p>
      <w:pPr>
        <w:spacing w:line="310" w:lineRule="exact"/>
        <w:ind w:firstLine="420" w:firstLineChars="200"/>
        <w:rPr>
          <w:rFonts w:ascii="宋体" w:hAnsi="宋体"/>
        </w:rPr>
      </w:pPr>
      <w:r>
        <w:rPr>
          <w:rFonts w:hint="eastAsia" w:ascii="宋体" w:hAnsi="宋体"/>
        </w:rPr>
        <w:t>2.2投标人对招标文件有异议的，应在投标截止时间10日前以</w:t>
      </w:r>
      <w:r>
        <w:rPr>
          <w:rFonts w:hint="eastAsia" w:ascii="宋体" w:hAnsi="宋体" w:cs="Arial"/>
        </w:rPr>
        <w:t>书面形式</w:t>
      </w:r>
      <w:r>
        <w:rPr>
          <w:rFonts w:hint="eastAsia" w:ascii="宋体" w:hAnsi="宋体"/>
        </w:rPr>
        <w:t>向招标代理机构</w:t>
      </w:r>
      <w:r>
        <w:rPr>
          <w:rFonts w:hint="eastAsia" w:ascii="Arial" w:hAnsi="Arial" w:cs="Arial"/>
        </w:rPr>
        <w:t>当面</w:t>
      </w:r>
      <w:r>
        <w:rPr>
          <w:rFonts w:ascii="Arial" w:hAnsi="Arial" w:cs="Arial"/>
        </w:rPr>
        <w:t>提</w:t>
      </w:r>
      <w:r>
        <w:rPr>
          <w:rFonts w:hint="eastAsia" w:ascii="Arial" w:hAnsi="Arial" w:cs="Arial"/>
        </w:rPr>
        <w:t>交</w:t>
      </w:r>
      <w:r>
        <w:rPr>
          <w:rFonts w:hint="eastAsia" w:ascii="宋体" w:hAnsi="宋体"/>
        </w:rPr>
        <w:t>，招标代理机构应当自收到异议之日起3日内作出答复。</w:t>
      </w:r>
    </w:p>
    <w:p>
      <w:pPr>
        <w:spacing w:line="310" w:lineRule="exact"/>
        <w:ind w:firstLine="420" w:firstLineChars="200"/>
        <w:rPr>
          <w:rFonts w:ascii="宋体" w:hAnsi="宋体"/>
        </w:rPr>
      </w:pPr>
      <w:r>
        <w:rPr>
          <w:rFonts w:hint="eastAsia" w:ascii="宋体" w:hAnsi="宋体"/>
        </w:rPr>
        <w:t>2.3招标文件的澄清、修改等内容均以答疑纪要为准。当招标文件的澄清、修改等在同一内容的表述上不一致时，以最后发出的文件为准。</w:t>
      </w:r>
    </w:p>
    <w:p>
      <w:pPr>
        <w:spacing w:line="310" w:lineRule="exact"/>
        <w:ind w:firstLine="413" w:firstLineChars="196"/>
        <w:rPr>
          <w:rFonts w:ascii="宋体" w:hAnsi="宋体"/>
          <w:b/>
          <w:szCs w:val="21"/>
        </w:rPr>
      </w:pPr>
      <w:bookmarkStart w:id="8" w:name="_Toc49135197"/>
      <w:bookmarkStart w:id="9" w:name="_Toc49082411"/>
      <w:r>
        <w:rPr>
          <w:rFonts w:hint="eastAsia" w:ascii="宋体" w:hAnsi="宋体"/>
          <w:b/>
          <w:szCs w:val="21"/>
        </w:rPr>
        <w:t>四、投标文件</w:t>
      </w:r>
    </w:p>
    <w:p>
      <w:pPr>
        <w:spacing w:line="310" w:lineRule="exact"/>
        <w:ind w:firstLine="422" w:firstLineChars="200"/>
        <w:rPr>
          <w:rFonts w:ascii="宋体" w:hAnsi="宋体"/>
          <w:b/>
          <w:szCs w:val="21"/>
        </w:rPr>
      </w:pPr>
      <w:r>
        <w:rPr>
          <w:rFonts w:hint="eastAsia" w:ascii="宋体" w:hAnsi="宋体"/>
          <w:b/>
          <w:szCs w:val="21"/>
        </w:rPr>
        <w:t>1.投标文件的编写</w:t>
      </w:r>
    </w:p>
    <w:p>
      <w:pPr>
        <w:spacing w:line="310" w:lineRule="exact"/>
        <w:ind w:firstLine="420" w:firstLineChars="200"/>
        <w:rPr>
          <w:rFonts w:ascii="宋体" w:hAnsi="宋体"/>
          <w:szCs w:val="21"/>
        </w:rPr>
      </w:pPr>
      <w:r>
        <w:rPr>
          <w:rFonts w:hint="eastAsia" w:ascii="宋体" w:hAnsi="宋体"/>
          <w:szCs w:val="21"/>
        </w:rPr>
        <w:t>1.1投标人应仔细阅读招标文件的所有内容，按招标文件的要求制作并递交投标文件，并保证所提供的全部资料的真实性、准确性，以确保其投标对招标文件做出实质性响应。投标人在投标中提供不真实的材料，无论其材料是否重要，都将直接</w:t>
      </w:r>
      <w:r>
        <w:rPr>
          <w:rFonts w:hint="eastAsia" w:ascii="宋体" w:hAnsi="宋体"/>
        </w:rPr>
        <w:t>导致</w:t>
      </w:r>
      <w:r>
        <w:rPr>
          <w:rFonts w:hint="eastAsia" w:ascii="宋体" w:hAnsi="宋体"/>
          <w:szCs w:val="21"/>
        </w:rPr>
        <w:t>投标文件无效，并承担由此产生的法律责任。</w:t>
      </w:r>
    </w:p>
    <w:p>
      <w:pPr>
        <w:spacing w:line="310" w:lineRule="exact"/>
        <w:ind w:firstLine="420" w:firstLineChars="200"/>
        <w:rPr>
          <w:rFonts w:ascii="宋体" w:hAnsi="宋体"/>
          <w:b/>
          <w:szCs w:val="21"/>
        </w:rPr>
      </w:pPr>
      <w:r>
        <w:rPr>
          <w:rFonts w:hint="eastAsia" w:ascii="宋体" w:hAnsi="宋体"/>
          <w:szCs w:val="21"/>
        </w:rPr>
        <w:t>1.2投标语言和计量单位</w:t>
      </w:r>
    </w:p>
    <w:p>
      <w:pPr>
        <w:spacing w:line="310" w:lineRule="exact"/>
        <w:ind w:firstLine="420" w:firstLineChars="200"/>
        <w:rPr>
          <w:rFonts w:ascii="宋体" w:hAnsi="宋体"/>
          <w:szCs w:val="21"/>
        </w:rPr>
      </w:pPr>
      <w:r>
        <w:rPr>
          <w:rFonts w:hint="eastAsia" w:ascii="宋体" w:hAnsi="宋体"/>
          <w:szCs w:val="21"/>
        </w:rPr>
        <w:t>投标文件和来往函件应用中文书写，</w:t>
      </w:r>
      <w:r>
        <w:rPr>
          <w:rFonts w:hint="eastAsia" w:ascii="宋体" w:hAnsi="宋体"/>
        </w:rPr>
        <w:t>投标人</w:t>
      </w:r>
      <w:r>
        <w:rPr>
          <w:rFonts w:hint="eastAsia" w:ascii="宋体" w:hAnsi="宋体"/>
          <w:szCs w:val="21"/>
        </w:rPr>
        <w:t>提供的支持文件、技术资料和印刷的文献可以用其它语言，但相应内容应附有中文翻译本（经公证处公证），以中文为准，计量单位应使用国际单位</w:t>
      </w:r>
      <w:r>
        <w:rPr>
          <w:rFonts w:hint="eastAsia" w:ascii="宋体" w:hAnsi="宋体"/>
        </w:rPr>
        <w:t>（除非招标文件中另有规定）</w:t>
      </w:r>
      <w:r>
        <w:rPr>
          <w:rFonts w:hint="eastAsia" w:ascii="宋体" w:hAnsi="宋体"/>
          <w:szCs w:val="21"/>
        </w:rPr>
        <w:t>。</w:t>
      </w:r>
    </w:p>
    <w:p>
      <w:pPr>
        <w:spacing w:line="310" w:lineRule="exact"/>
        <w:ind w:firstLine="420" w:firstLineChars="200"/>
        <w:rPr>
          <w:rFonts w:ascii="宋体" w:hAnsi="宋体"/>
          <w:szCs w:val="21"/>
        </w:rPr>
      </w:pPr>
      <w:r>
        <w:rPr>
          <w:rFonts w:hint="eastAsia" w:ascii="宋体" w:hAnsi="宋体"/>
          <w:szCs w:val="21"/>
        </w:rPr>
        <w:t>1.3投标人必须以人民币报价，并</w:t>
      </w:r>
      <w:r>
        <w:rPr>
          <w:rFonts w:hint="eastAsia" w:ascii="宋体" w:hAnsi="宋体"/>
        </w:rPr>
        <w:t>保留</w:t>
      </w:r>
      <w:r>
        <w:rPr>
          <w:rFonts w:hint="eastAsia" w:ascii="宋体" w:hAnsi="宋体"/>
          <w:szCs w:val="21"/>
        </w:rPr>
        <w:t>小数点后两位。</w:t>
      </w:r>
    </w:p>
    <w:p>
      <w:pPr>
        <w:spacing w:line="310" w:lineRule="exact"/>
        <w:ind w:firstLine="422" w:firstLineChars="200"/>
        <w:rPr>
          <w:rFonts w:ascii="宋体" w:hAnsi="宋体"/>
          <w:b/>
          <w:szCs w:val="21"/>
        </w:rPr>
      </w:pPr>
      <w:r>
        <w:rPr>
          <w:rFonts w:hint="eastAsia" w:ascii="宋体" w:hAnsi="宋体"/>
          <w:b/>
          <w:szCs w:val="21"/>
        </w:rPr>
        <w:t>2.投标文件的组成</w:t>
      </w:r>
    </w:p>
    <w:p>
      <w:pPr>
        <w:spacing w:line="310" w:lineRule="exact"/>
        <w:ind w:firstLine="420" w:firstLineChars="200"/>
        <w:rPr>
          <w:rFonts w:ascii="宋体" w:hAnsi="宋体"/>
          <w:szCs w:val="21"/>
          <w:lang w:val="en-GB"/>
        </w:rPr>
      </w:pPr>
      <w:r>
        <w:rPr>
          <w:rFonts w:hint="eastAsia" w:ascii="宋体" w:hAnsi="宋体"/>
          <w:szCs w:val="21"/>
        </w:rPr>
        <w:t>2.1投标人准备的投标文件应按第五章“投标文件格式”的要求</w:t>
      </w:r>
      <w:r>
        <w:rPr>
          <w:rFonts w:ascii="宋体" w:hAnsi="宋体"/>
          <w:szCs w:val="21"/>
          <w:lang w:val="en-GB"/>
        </w:rPr>
        <w:t>以A4版面统一编制</w:t>
      </w:r>
      <w:r>
        <w:rPr>
          <w:rFonts w:hint="eastAsia" w:ascii="宋体" w:hAnsi="宋体"/>
          <w:szCs w:val="21"/>
          <w:lang w:val="en-GB"/>
        </w:rPr>
        <w:t>。</w:t>
      </w:r>
    </w:p>
    <w:p>
      <w:pPr>
        <w:spacing w:line="310" w:lineRule="exact"/>
        <w:ind w:firstLine="420" w:firstLineChars="200"/>
        <w:rPr>
          <w:rFonts w:ascii="宋体" w:hAnsi="宋体"/>
        </w:rPr>
      </w:pPr>
      <w:r>
        <w:rPr>
          <w:rFonts w:hint="eastAsia" w:ascii="宋体" w:hAnsi="宋体"/>
        </w:rPr>
        <w:t xml:space="preserve">2.2对招标文件“用户需求书 ”作出书面响应，包括但不限于主要需求等。 </w:t>
      </w:r>
    </w:p>
    <w:p>
      <w:pPr>
        <w:spacing w:line="310" w:lineRule="exact"/>
        <w:ind w:firstLine="420" w:firstLineChars="200"/>
        <w:rPr>
          <w:rFonts w:ascii="宋体" w:hAnsi="宋体"/>
          <w:szCs w:val="21"/>
        </w:rPr>
      </w:pPr>
      <w:r>
        <w:rPr>
          <w:rFonts w:hint="eastAsia" w:ascii="宋体" w:hAnsi="宋体"/>
          <w:szCs w:val="21"/>
        </w:rPr>
        <w:t>2.3投标人必须自行承担因其投标文件的任何错漏而</w:t>
      </w:r>
      <w:r>
        <w:rPr>
          <w:rFonts w:hint="eastAsia" w:ascii="宋体" w:hAnsi="宋体"/>
        </w:rPr>
        <w:t>导致</w:t>
      </w:r>
      <w:r>
        <w:rPr>
          <w:rFonts w:hint="eastAsia" w:ascii="宋体" w:hAnsi="宋体"/>
          <w:szCs w:val="21"/>
        </w:rPr>
        <w:t>的一切后果。</w:t>
      </w:r>
    </w:p>
    <w:p>
      <w:pPr>
        <w:spacing w:line="310" w:lineRule="exact"/>
        <w:ind w:firstLine="422" w:firstLineChars="200"/>
        <w:rPr>
          <w:rFonts w:ascii="宋体" w:hAnsi="宋体"/>
          <w:b/>
          <w:szCs w:val="21"/>
        </w:rPr>
      </w:pPr>
      <w:r>
        <w:rPr>
          <w:rFonts w:hint="eastAsia" w:ascii="宋体" w:hAnsi="宋体"/>
          <w:b/>
          <w:szCs w:val="21"/>
        </w:rPr>
        <w:t>3.投标文件的澄清</w:t>
      </w:r>
    </w:p>
    <w:p>
      <w:pPr>
        <w:spacing w:line="310" w:lineRule="exact"/>
        <w:ind w:firstLine="420" w:firstLineChars="200"/>
        <w:rPr>
          <w:rFonts w:ascii="宋体" w:hAnsi="宋体"/>
          <w:szCs w:val="21"/>
        </w:rPr>
      </w:pPr>
      <w:r>
        <w:rPr>
          <w:rFonts w:hint="eastAsia" w:ascii="宋体" w:hAnsi="宋体"/>
          <w:szCs w:val="21"/>
        </w:rPr>
        <w:t>3.1对投标文件中含义不明确、同类问题表述不一致或者有明显文字和计算错误的内容，评标委员会可以书面形式（应当由评标委员会专家签字）要求投标人做出必要的澄清、说明或者纠正，</w:t>
      </w:r>
      <w:r>
        <w:rPr>
          <w:rFonts w:hint="eastAsia" w:ascii="宋体" w:hAnsi="宋体"/>
          <w:kern w:val="0"/>
          <w:szCs w:val="21"/>
        </w:rPr>
        <w:t>但不得允许投标人对投标报价等实质性内容做任何更改</w:t>
      </w:r>
      <w:r>
        <w:rPr>
          <w:rFonts w:hint="eastAsia" w:ascii="宋体" w:hAnsi="宋体"/>
          <w:szCs w:val="21"/>
        </w:rPr>
        <w:t>。投标人的澄清、说明或者补正应当采用书面形式，由其授权的代表签字（或盖章），并不得超出投标文件的范围或者改变投标</w:t>
      </w:r>
      <w:r>
        <w:rPr>
          <w:rFonts w:hint="eastAsia" w:ascii="宋体" w:hAnsi="宋体"/>
        </w:rPr>
        <w:t>文件</w:t>
      </w:r>
      <w:r>
        <w:rPr>
          <w:rFonts w:hint="eastAsia" w:ascii="宋体" w:hAnsi="宋体"/>
          <w:szCs w:val="21"/>
        </w:rPr>
        <w:t>的</w:t>
      </w:r>
      <w:r>
        <w:rPr>
          <w:rFonts w:hint="eastAsia" w:ascii="宋体" w:hAnsi="宋体"/>
        </w:rPr>
        <w:t>实质性</w:t>
      </w:r>
      <w:r>
        <w:rPr>
          <w:rFonts w:hint="eastAsia" w:ascii="宋体" w:hAnsi="宋体"/>
          <w:szCs w:val="21"/>
        </w:rPr>
        <w:t>内容。</w:t>
      </w:r>
    </w:p>
    <w:p>
      <w:pPr>
        <w:spacing w:line="310" w:lineRule="exact"/>
        <w:ind w:firstLine="420" w:firstLineChars="200"/>
        <w:rPr>
          <w:rFonts w:ascii="宋体" w:hAnsi="宋体"/>
          <w:szCs w:val="21"/>
        </w:rPr>
      </w:pPr>
      <w:r>
        <w:rPr>
          <w:rFonts w:hint="eastAsia" w:ascii="宋体" w:hAnsi="宋体"/>
          <w:szCs w:val="21"/>
        </w:rPr>
        <w:t>3.2投标人的澄清文件是其投标文件的组成部分。</w:t>
      </w:r>
    </w:p>
    <w:bookmarkEnd w:id="8"/>
    <w:bookmarkEnd w:id="9"/>
    <w:p>
      <w:pPr>
        <w:spacing w:line="310" w:lineRule="exact"/>
        <w:ind w:firstLine="422" w:firstLineChars="200"/>
        <w:rPr>
          <w:rFonts w:ascii="宋体" w:hAnsi="宋体"/>
          <w:b/>
        </w:rPr>
      </w:pPr>
      <w:r>
        <w:rPr>
          <w:rFonts w:hint="eastAsia" w:ascii="宋体" w:hAnsi="宋体"/>
          <w:b/>
        </w:rPr>
        <w:t>4.投标文件的制作</w:t>
      </w:r>
    </w:p>
    <w:p>
      <w:pPr>
        <w:spacing w:line="310" w:lineRule="exact"/>
        <w:ind w:firstLine="420" w:firstLineChars="200"/>
        <w:rPr>
          <w:rFonts w:ascii="宋体" w:hAnsi="宋体"/>
        </w:rPr>
      </w:pPr>
      <w:r>
        <w:rPr>
          <w:rFonts w:hint="eastAsia" w:ascii="宋体" w:hAnsi="宋体"/>
        </w:rPr>
        <w:t>4.1投标人应使用本平台提供的投标文件管理软件对投标文件进行合成、电子签名、电子签章及加密打包。如因不按要求编制而所引起系统无法检索、读取相关信息时，其后果由投标人承担。</w:t>
      </w:r>
    </w:p>
    <w:p>
      <w:pPr>
        <w:spacing w:line="310" w:lineRule="exact"/>
        <w:ind w:firstLine="420" w:firstLineChars="200"/>
        <w:rPr>
          <w:rFonts w:ascii="宋体" w:hAnsi="宋体"/>
        </w:rPr>
      </w:pPr>
      <w:r>
        <w:rPr>
          <w:rFonts w:hint="eastAsia" w:ascii="宋体" w:hAnsi="宋体"/>
        </w:rPr>
        <w:t>4.2投标人不得将项目内容拆开响应，否则其报价将被视为非实质性响应。</w:t>
      </w:r>
    </w:p>
    <w:p>
      <w:pPr>
        <w:spacing w:line="310" w:lineRule="exact"/>
        <w:ind w:firstLine="420" w:firstLineChars="200"/>
        <w:rPr>
          <w:rFonts w:ascii="宋体" w:hAnsi="宋体"/>
        </w:rPr>
      </w:pPr>
      <w:r>
        <w:rPr>
          <w:rFonts w:hint="eastAsia" w:ascii="宋体" w:hAnsi="宋体"/>
        </w:rPr>
        <w:t>4.3投标人应按招标文件的规定及附件要求的内容和格式完整地填写和提供资料。投标人必须对投标文件所提供的全部资料的真实性承担法律责任，并无条件接受招标人对其中任何资料进行核实（核对原件）的要求。招标人核对发现有不一致或投标人无正当理由不按时提供原件的，按成交无效处理。</w:t>
      </w:r>
    </w:p>
    <w:p>
      <w:pPr>
        <w:spacing w:line="310" w:lineRule="exact"/>
        <w:ind w:firstLine="420" w:firstLineChars="200"/>
        <w:rPr>
          <w:rFonts w:ascii="宋体" w:hAnsi="宋体"/>
        </w:rPr>
      </w:pPr>
      <w:r>
        <w:rPr>
          <w:rFonts w:hint="eastAsia" w:ascii="宋体" w:hAnsi="宋体"/>
        </w:rPr>
        <w:t>4.4投标人必须按招标文件指定的格式填写各种报价，各报价应计算正确。</w:t>
      </w:r>
    </w:p>
    <w:p>
      <w:pPr>
        <w:spacing w:line="310" w:lineRule="exact"/>
        <w:ind w:firstLine="420" w:firstLineChars="200"/>
        <w:rPr>
          <w:rFonts w:ascii="宋体" w:hAnsi="宋体"/>
        </w:rPr>
      </w:pPr>
      <w:r>
        <w:rPr>
          <w:rFonts w:hint="eastAsia" w:ascii="宋体" w:hAnsi="宋体"/>
        </w:rPr>
        <w:t>4.5投标文件以及投标人与招标人就有关响应的往来函电均应使用中文。投标人提交的支持性文件和印制的文件可以用另一种语言，但相应内容应翻译成中文，在解释投标文件时以中文文本为准。</w:t>
      </w:r>
    </w:p>
    <w:p>
      <w:pPr>
        <w:spacing w:line="310" w:lineRule="exact"/>
        <w:ind w:firstLine="420" w:firstLineChars="200"/>
        <w:rPr>
          <w:rFonts w:ascii="宋体" w:hAnsi="宋体"/>
        </w:rPr>
      </w:pPr>
      <w:r>
        <w:rPr>
          <w:rFonts w:hint="eastAsia" w:ascii="宋体" w:hAnsi="宋体"/>
        </w:rPr>
        <w:t>4.6投标人须按照要求对部分要求签章的文件进行签章，并讲签章文件以PDF格式编制在投标文件中。</w:t>
      </w:r>
    </w:p>
    <w:p>
      <w:pPr>
        <w:spacing w:line="310" w:lineRule="exact"/>
        <w:ind w:firstLine="420" w:firstLineChars="200"/>
        <w:rPr>
          <w:rFonts w:ascii="宋体" w:hAnsi="宋体"/>
        </w:rPr>
      </w:pPr>
      <w:r>
        <w:rPr>
          <w:rFonts w:hint="eastAsia" w:ascii="宋体" w:hAnsi="宋体"/>
        </w:rPr>
        <w:t>4.7投标文件如有编页码，页码必须连续。</w:t>
      </w:r>
    </w:p>
    <w:p>
      <w:pPr>
        <w:spacing w:line="310" w:lineRule="exact"/>
        <w:ind w:firstLine="420" w:firstLineChars="200"/>
        <w:rPr>
          <w:rFonts w:ascii="宋体" w:hAnsi="宋体"/>
        </w:rPr>
      </w:pPr>
      <w:r>
        <w:rPr>
          <w:rFonts w:hint="eastAsia" w:ascii="宋体" w:hAnsi="宋体"/>
        </w:rPr>
        <w:t>4.8对完整的电子投标文件首页及投标文件格式目录要求盖章处进行电子签章，视为具有有效、完整电子签章的投标文件，具有同等的法律效力。</w:t>
      </w:r>
    </w:p>
    <w:p>
      <w:pPr>
        <w:spacing w:line="310" w:lineRule="exact"/>
        <w:ind w:firstLine="422" w:firstLineChars="200"/>
        <w:rPr>
          <w:rFonts w:ascii="宋体" w:hAnsi="宋体"/>
          <w:b/>
          <w:szCs w:val="21"/>
        </w:rPr>
      </w:pPr>
      <w:r>
        <w:rPr>
          <w:rFonts w:hint="eastAsia" w:ascii="宋体" w:hAnsi="宋体"/>
          <w:b/>
          <w:szCs w:val="21"/>
        </w:rPr>
        <w:t>5.投标文件的修改和撤回</w:t>
      </w:r>
    </w:p>
    <w:p>
      <w:pPr>
        <w:spacing w:line="310" w:lineRule="exact"/>
        <w:ind w:firstLine="420" w:firstLineChars="200"/>
        <w:rPr>
          <w:rFonts w:ascii="宋体" w:hAnsi="宋体"/>
          <w:szCs w:val="21"/>
        </w:rPr>
      </w:pPr>
      <w:r>
        <w:rPr>
          <w:rFonts w:hint="eastAsia" w:ascii="宋体" w:hAnsi="宋体"/>
          <w:szCs w:val="21"/>
        </w:rPr>
        <w:t>5.1在提交投标文件截止时间前，投标人可以修改或撤回未解密的投标文件，投标文件一经解密，将不允许修改或撤回。</w:t>
      </w:r>
    </w:p>
    <w:p>
      <w:pPr>
        <w:spacing w:line="310" w:lineRule="exact"/>
        <w:ind w:firstLine="420" w:firstLineChars="200"/>
        <w:rPr>
          <w:rFonts w:ascii="宋体" w:hAnsi="宋体"/>
          <w:szCs w:val="21"/>
        </w:rPr>
      </w:pPr>
      <w:r>
        <w:rPr>
          <w:rFonts w:hint="eastAsia" w:ascii="宋体" w:hAnsi="宋体"/>
          <w:szCs w:val="21"/>
        </w:rPr>
        <w:t>5.2在提交投标文件截止时间后，投标人不得补充、修改和更换投标文件。</w:t>
      </w:r>
    </w:p>
    <w:p>
      <w:pPr>
        <w:spacing w:line="310" w:lineRule="exact"/>
        <w:ind w:firstLine="422" w:firstLineChars="200"/>
        <w:rPr>
          <w:rFonts w:ascii="宋体" w:hAnsi="宋体"/>
          <w:b/>
        </w:rPr>
      </w:pPr>
      <w:r>
        <w:rPr>
          <w:rFonts w:hint="eastAsia" w:ascii="宋体" w:hAnsi="宋体"/>
          <w:b/>
        </w:rPr>
        <w:t>6.投标有效期</w:t>
      </w:r>
    </w:p>
    <w:p>
      <w:pPr>
        <w:spacing w:line="310" w:lineRule="exact"/>
        <w:ind w:firstLine="420" w:firstLineChars="200"/>
        <w:rPr>
          <w:rFonts w:ascii="宋体" w:hAnsi="宋体"/>
          <w:szCs w:val="21"/>
        </w:rPr>
      </w:pPr>
      <w:r>
        <w:rPr>
          <w:rFonts w:hint="eastAsia" w:ascii="宋体" w:hAnsi="宋体"/>
          <w:szCs w:val="21"/>
        </w:rPr>
        <w:t>6.1从投标截止日起，投标有效期为90天。投标有效期不足的投标将视为非实质性响应，并予以拒绝。</w:t>
      </w:r>
    </w:p>
    <w:p>
      <w:pPr>
        <w:spacing w:line="310" w:lineRule="exact"/>
        <w:ind w:firstLine="420" w:firstLineChars="200"/>
        <w:rPr>
          <w:rFonts w:ascii="宋体" w:hAnsi="宋体"/>
          <w:szCs w:val="21"/>
        </w:rPr>
      </w:pPr>
      <w:r>
        <w:rPr>
          <w:rFonts w:hint="eastAsia" w:ascii="宋体" w:hAnsi="宋体"/>
          <w:szCs w:val="21"/>
        </w:rPr>
        <w:t>6.2在特殊情况下，招标人可于投标有效期日满之前要求投标人同意延长有效日期，要求与答复均应以书面形式。投标人可以拒绝上述延期要求而其投标保证金（如有）不被没收，同意延期的投标人根据原截止日期应负之权利及责任相应也延至新的截止日期。</w:t>
      </w:r>
    </w:p>
    <w:p>
      <w:pPr>
        <w:spacing w:line="310" w:lineRule="exact"/>
        <w:ind w:firstLine="422" w:firstLineChars="200"/>
        <w:rPr>
          <w:rFonts w:ascii="宋体" w:hAnsi="宋体"/>
          <w:b/>
        </w:rPr>
      </w:pPr>
      <w:r>
        <w:rPr>
          <w:rFonts w:hint="eastAsia" w:ascii="宋体" w:hAnsi="宋体"/>
          <w:b/>
        </w:rPr>
        <w:t>7.投标文件的递交</w:t>
      </w:r>
    </w:p>
    <w:p>
      <w:pPr>
        <w:spacing w:line="310" w:lineRule="exact"/>
        <w:ind w:firstLine="420" w:firstLineChars="200"/>
        <w:rPr>
          <w:rFonts w:ascii="宋体" w:hAnsi="宋体"/>
        </w:rPr>
      </w:pPr>
      <w:r>
        <w:rPr>
          <w:rFonts w:hint="eastAsia" w:ascii="宋体" w:hAnsi="宋体"/>
        </w:rPr>
        <w:t>7.1投标人应在投标文件截止时间前，将投标文件完整上传并保存在本平台系统中。投标截止时间结束后，系统将不允许投标人上传投标文件。</w:t>
      </w:r>
    </w:p>
    <w:p>
      <w:pPr>
        <w:spacing w:line="310" w:lineRule="exact"/>
        <w:ind w:firstLine="420" w:firstLineChars="200"/>
        <w:rPr>
          <w:rFonts w:ascii="宋体" w:hAnsi="宋体"/>
        </w:rPr>
      </w:pPr>
      <w:r>
        <w:rPr>
          <w:rFonts w:hint="eastAsia" w:ascii="宋体" w:hAnsi="宋体"/>
        </w:rPr>
        <w:t>7.2本项目不接受现场纸质、邮寄纸质、电报、电话、传真方式竞投。</w:t>
      </w:r>
    </w:p>
    <w:p>
      <w:pPr>
        <w:spacing w:line="310" w:lineRule="exact"/>
        <w:ind w:firstLine="420" w:firstLineChars="200"/>
        <w:rPr>
          <w:rFonts w:ascii="宋体" w:hAnsi="宋体"/>
        </w:rPr>
      </w:pPr>
      <w:r>
        <w:rPr>
          <w:rFonts w:hint="eastAsia" w:ascii="宋体" w:hAnsi="宋体"/>
        </w:rPr>
        <w:t>7.3本平台对因不可抗力事件造成的投标文件的损坏、丢失的，不承担责任。</w:t>
      </w:r>
    </w:p>
    <w:p>
      <w:pPr>
        <w:spacing w:line="310" w:lineRule="exact"/>
        <w:ind w:firstLine="420" w:firstLineChars="200"/>
        <w:rPr>
          <w:rFonts w:ascii="宋体" w:hAnsi="宋体"/>
        </w:rPr>
      </w:pPr>
      <w:r>
        <w:rPr>
          <w:rFonts w:hint="eastAsia" w:ascii="宋体" w:hAnsi="宋体"/>
        </w:rPr>
        <w:t>7.4出现下述情形之一，属于未成功提交投标文件：</w:t>
      </w:r>
    </w:p>
    <w:p>
      <w:pPr>
        <w:spacing w:line="310" w:lineRule="exact"/>
        <w:ind w:firstLine="420" w:firstLineChars="200"/>
        <w:rPr>
          <w:rFonts w:ascii="宋体" w:hAnsi="宋体"/>
        </w:rPr>
      </w:pPr>
      <w:r>
        <w:rPr>
          <w:rFonts w:hint="eastAsia" w:ascii="宋体" w:hAnsi="宋体"/>
        </w:rPr>
        <w:t>1)至提交投标文件截止时，投标文件未完整上传并保存的。</w:t>
      </w:r>
    </w:p>
    <w:p>
      <w:pPr>
        <w:spacing w:line="310" w:lineRule="exact"/>
        <w:ind w:firstLine="420" w:firstLineChars="200"/>
        <w:rPr>
          <w:rFonts w:ascii="宋体" w:hAnsi="宋体"/>
        </w:rPr>
      </w:pPr>
      <w:r>
        <w:rPr>
          <w:rFonts w:hint="eastAsia" w:ascii="宋体" w:hAnsi="宋体"/>
        </w:rPr>
        <w:t>2)投标文件未按要求进行电子签名和电子签章，或电子签名或电子签章不完整的。</w:t>
      </w:r>
    </w:p>
    <w:p>
      <w:pPr>
        <w:spacing w:line="310" w:lineRule="exact"/>
        <w:ind w:firstLine="420" w:firstLineChars="200"/>
        <w:rPr>
          <w:rFonts w:ascii="宋体" w:hAnsi="宋体"/>
        </w:rPr>
      </w:pPr>
      <w:r>
        <w:rPr>
          <w:rFonts w:hint="eastAsia" w:ascii="宋体" w:hAnsi="宋体"/>
        </w:rPr>
        <w:t>3)投标文件损坏或格式不正确的。</w:t>
      </w:r>
    </w:p>
    <w:p>
      <w:pPr>
        <w:spacing w:line="310" w:lineRule="exact"/>
        <w:ind w:firstLine="420" w:firstLineChars="200"/>
        <w:rPr>
          <w:rFonts w:ascii="宋体" w:hAnsi="宋体"/>
        </w:rPr>
      </w:pPr>
      <w:r>
        <w:rPr>
          <w:rFonts w:hint="eastAsia" w:ascii="宋体" w:hAnsi="宋体"/>
        </w:rPr>
        <w:t>4)未使用最新发布的招标文件制作投标文件的。</w:t>
      </w:r>
    </w:p>
    <w:p>
      <w:pPr>
        <w:spacing w:line="310" w:lineRule="exact"/>
        <w:ind w:firstLine="422" w:firstLineChars="200"/>
        <w:rPr>
          <w:rFonts w:ascii="宋体" w:hAnsi="宋体"/>
          <w:b/>
        </w:rPr>
      </w:pPr>
      <w:r>
        <w:rPr>
          <w:rFonts w:hint="eastAsia" w:ascii="宋体" w:hAnsi="宋体"/>
          <w:b/>
        </w:rPr>
        <w:t>8.投标文件的解密</w:t>
      </w:r>
    </w:p>
    <w:p>
      <w:pPr>
        <w:spacing w:line="310" w:lineRule="exact"/>
        <w:ind w:firstLine="420" w:firstLineChars="200"/>
        <w:rPr>
          <w:rFonts w:ascii="宋体" w:hAnsi="宋体"/>
        </w:rPr>
      </w:pPr>
      <w:r>
        <w:rPr>
          <w:rFonts w:hint="eastAsia" w:ascii="宋体" w:hAnsi="宋体"/>
        </w:rPr>
        <w:t>投标人须在规定的响应解密时间内，使用制作该投标文件的同一业务数字证书对投标文件进行解密，逾期未解密的投标文件作无效投标处理。</w:t>
      </w:r>
    </w:p>
    <w:p>
      <w:pPr>
        <w:spacing w:line="310" w:lineRule="exact"/>
        <w:jc w:val="left"/>
        <w:rPr>
          <w:rFonts w:ascii="宋体" w:hAnsi="宋体"/>
        </w:rPr>
      </w:pPr>
      <w:r>
        <w:rPr>
          <w:rFonts w:hint="eastAsia" w:ascii="宋体" w:hAnsi="宋体"/>
          <w:b/>
          <w:szCs w:val="21"/>
          <w:lang w:val="en-GB"/>
        </w:rPr>
        <w:t xml:space="preserve">    9.</w:t>
      </w:r>
      <w:bookmarkStart w:id="10" w:name="_Toc397349687"/>
      <w:bookmarkStart w:id="11" w:name="_Toc136662919"/>
      <w:bookmarkStart w:id="12" w:name="_Toc119321130"/>
      <w:bookmarkStart w:id="13" w:name="_Toc367885865"/>
      <w:bookmarkStart w:id="14" w:name="_Toc397349838"/>
      <w:bookmarkStart w:id="15" w:name="_Toc367884850"/>
      <w:bookmarkStart w:id="16" w:name="_Toc361990148"/>
      <w:bookmarkStart w:id="17" w:name="_Toc136682895"/>
      <w:bookmarkStart w:id="18" w:name="_Toc157504573"/>
      <w:bookmarkStart w:id="19" w:name="_Toc361989945"/>
      <w:r>
        <w:rPr>
          <w:rFonts w:hint="eastAsia" w:ascii="宋体" w:hAnsi="宋体"/>
          <w:b/>
          <w:szCs w:val="21"/>
        </w:rPr>
        <w:t xml:space="preserve"> 本项目</w:t>
      </w:r>
      <w:r>
        <w:rPr>
          <w:rFonts w:hint="eastAsia" w:ascii="宋体" w:hAnsi="宋体" w:cs="宋体"/>
          <w:b/>
          <w:kern w:val="0"/>
          <w:szCs w:val="21"/>
        </w:rPr>
        <w:t>投入资金最低限价</w:t>
      </w:r>
      <w:r>
        <w:rPr>
          <w:rFonts w:hint="eastAsia" w:ascii="宋体" w:hAnsi="宋体"/>
          <w:b/>
          <w:szCs w:val="21"/>
        </w:rPr>
        <w:t>为</w:t>
      </w:r>
      <w:r>
        <w:rPr>
          <w:rFonts w:hint="eastAsia" w:ascii="宋体" w:hAnsi="宋体"/>
          <w:b/>
          <w:szCs w:val="21"/>
          <w:lang w:val="en-GB"/>
        </w:rPr>
        <w:t>：人民币465万元。</w:t>
      </w:r>
      <w:r>
        <w:rPr>
          <w:rFonts w:hint="eastAsia" w:ascii="宋体" w:hAnsi="宋体"/>
          <w:b/>
        </w:rPr>
        <w:t>投标人报价低于</w:t>
      </w:r>
      <w:r>
        <w:rPr>
          <w:rFonts w:hint="eastAsia" w:ascii="宋体" w:hAnsi="宋体" w:cs="仿宋"/>
          <w:b/>
          <w:bCs/>
          <w:szCs w:val="21"/>
        </w:rPr>
        <w:t>本项目</w:t>
      </w:r>
      <w:r>
        <w:rPr>
          <w:rFonts w:hint="eastAsia" w:ascii="宋体" w:hAnsi="宋体" w:cs="宋体"/>
          <w:b/>
          <w:kern w:val="0"/>
          <w:szCs w:val="21"/>
        </w:rPr>
        <w:t>投入资金最低限价</w:t>
      </w:r>
      <w:r>
        <w:rPr>
          <w:rFonts w:hint="eastAsia" w:ascii="宋体" w:hAnsi="宋体" w:cs="仿宋"/>
          <w:b/>
          <w:bCs/>
          <w:szCs w:val="21"/>
        </w:rPr>
        <w:t>，</w:t>
      </w:r>
      <w:r>
        <w:rPr>
          <w:rFonts w:hint="eastAsia" w:ascii="宋体" w:hAnsi="宋体"/>
          <w:b/>
          <w:szCs w:val="21"/>
          <w:lang w:val="en-GB"/>
        </w:rPr>
        <w:t>视为无效投标</w:t>
      </w:r>
      <w:r>
        <w:rPr>
          <w:rFonts w:hint="eastAsia" w:ascii="宋体" w:hAnsi="宋体" w:cs="宋体"/>
          <w:b/>
          <w:szCs w:val="21"/>
        </w:rPr>
        <w:t>。</w:t>
      </w:r>
    </w:p>
    <w:bookmarkEnd w:id="10"/>
    <w:bookmarkEnd w:id="11"/>
    <w:bookmarkEnd w:id="12"/>
    <w:bookmarkEnd w:id="13"/>
    <w:bookmarkEnd w:id="14"/>
    <w:bookmarkEnd w:id="15"/>
    <w:bookmarkEnd w:id="16"/>
    <w:bookmarkEnd w:id="17"/>
    <w:bookmarkEnd w:id="18"/>
    <w:bookmarkEnd w:id="19"/>
    <w:p>
      <w:pPr>
        <w:spacing w:line="310" w:lineRule="exact"/>
        <w:ind w:firstLine="422" w:firstLineChars="200"/>
        <w:rPr>
          <w:rFonts w:ascii="宋体" w:hAnsi="宋体"/>
          <w:b/>
          <w:szCs w:val="21"/>
          <w:lang w:val="en-GB"/>
        </w:rPr>
      </w:pPr>
      <w:r>
        <w:rPr>
          <w:rFonts w:hint="eastAsia" w:ascii="宋体" w:hAnsi="宋体"/>
          <w:b/>
          <w:szCs w:val="21"/>
          <w:lang w:val="en-GB"/>
        </w:rPr>
        <w:t>10.</w:t>
      </w:r>
      <w:r>
        <w:rPr>
          <w:rFonts w:ascii="宋体" w:hAnsi="宋体"/>
          <w:b/>
          <w:szCs w:val="21"/>
          <w:lang w:val="en-GB"/>
        </w:rPr>
        <w:t>在没有特别要求时，</w:t>
      </w:r>
      <w:r>
        <w:rPr>
          <w:rFonts w:hint="eastAsia" w:ascii="宋体" w:hAnsi="宋体"/>
          <w:b/>
          <w:szCs w:val="21"/>
          <w:lang w:val="en-GB"/>
        </w:rPr>
        <w:t>投标人</w:t>
      </w:r>
      <w:r>
        <w:rPr>
          <w:rFonts w:ascii="宋体" w:hAnsi="宋体"/>
          <w:b/>
          <w:szCs w:val="21"/>
          <w:lang w:val="en-GB"/>
        </w:rPr>
        <w:t>只允许提供唯一最具竞争力的投标报价，否则，</w:t>
      </w:r>
      <w:r>
        <w:rPr>
          <w:rFonts w:hint="eastAsia" w:ascii="宋体" w:hAnsi="宋体"/>
          <w:b/>
          <w:szCs w:val="21"/>
          <w:lang w:val="en-GB"/>
        </w:rPr>
        <w:t>视为</w:t>
      </w:r>
      <w:r>
        <w:rPr>
          <w:rFonts w:ascii="宋体" w:hAnsi="宋体"/>
          <w:b/>
          <w:szCs w:val="21"/>
          <w:lang w:val="en-GB"/>
        </w:rPr>
        <w:t>无效投标。</w:t>
      </w:r>
    </w:p>
    <w:p>
      <w:pPr>
        <w:tabs>
          <w:tab w:val="left" w:pos="735"/>
        </w:tabs>
        <w:spacing w:line="310" w:lineRule="exact"/>
        <w:ind w:firstLine="422" w:firstLineChars="200"/>
        <w:rPr>
          <w:rFonts w:ascii="宋体" w:hAnsi="宋体" w:cs="宋体"/>
          <w:b/>
          <w:kern w:val="0"/>
          <w:szCs w:val="21"/>
        </w:rPr>
      </w:pPr>
      <w:r>
        <w:rPr>
          <w:rFonts w:hint="eastAsia" w:ascii="宋体" w:hAnsi="宋体" w:cs="宋体"/>
          <w:b/>
          <w:kern w:val="0"/>
          <w:szCs w:val="21"/>
        </w:rPr>
        <w:t>11.投标保证金：详见采购公告</w:t>
      </w:r>
    </w:p>
    <w:p>
      <w:pPr>
        <w:spacing w:line="310" w:lineRule="exact"/>
        <w:ind w:firstLine="422" w:firstLineChars="200"/>
        <w:rPr>
          <w:rFonts w:ascii="宋体" w:hAnsi="宋体"/>
          <w:b/>
          <w:szCs w:val="21"/>
        </w:rPr>
      </w:pPr>
      <w:r>
        <w:rPr>
          <w:rFonts w:hint="eastAsia" w:ascii="宋体" w:hAnsi="宋体"/>
          <w:b/>
          <w:szCs w:val="21"/>
        </w:rPr>
        <w:t>12．</w:t>
      </w:r>
      <w:r>
        <w:rPr>
          <w:rFonts w:hint="eastAsia" w:ascii="宋体" w:hAnsi="宋体"/>
          <w:b/>
          <w:szCs w:val="24"/>
        </w:rPr>
        <w:t>知识产权</w:t>
      </w:r>
    </w:p>
    <w:p>
      <w:pPr>
        <w:spacing w:line="310" w:lineRule="exact"/>
        <w:ind w:firstLine="420" w:firstLineChars="200"/>
        <w:rPr>
          <w:rFonts w:ascii="宋体" w:hAnsi="宋体"/>
          <w:szCs w:val="24"/>
        </w:rPr>
      </w:pPr>
      <w:r>
        <w:rPr>
          <w:rFonts w:hint="eastAsia" w:ascii="宋体" w:hAnsi="宋体"/>
          <w:szCs w:val="21"/>
        </w:rPr>
        <w:t>12.1</w:t>
      </w:r>
      <w:r>
        <w:rPr>
          <w:rFonts w:hint="eastAsia" w:ascii="宋体" w:hAnsi="宋体"/>
          <w:szCs w:val="24"/>
        </w:rPr>
        <w:t>投标人保证所提供的设备中所有预装和为本项目安装的软件为具有合法版权或使用权的正版软件且无质量瑕疵，且为该产品的当前最新版本；如有必要，</w:t>
      </w:r>
      <w:r>
        <w:rPr>
          <w:rFonts w:hint="eastAsia" w:ascii="宋体" w:hAnsi="宋体"/>
        </w:rPr>
        <w:t>投标人</w:t>
      </w:r>
      <w:r>
        <w:rPr>
          <w:rFonts w:hint="eastAsia" w:ascii="宋体" w:hAnsi="宋体"/>
          <w:szCs w:val="24"/>
        </w:rPr>
        <w:t>应签署授予招标人该软件合法使用许可的法律文件。</w:t>
      </w:r>
    </w:p>
    <w:p>
      <w:pPr>
        <w:spacing w:line="310" w:lineRule="exact"/>
        <w:ind w:firstLine="420" w:firstLineChars="200"/>
        <w:rPr>
          <w:rFonts w:ascii="宋体" w:hAnsi="宋体"/>
          <w:szCs w:val="21"/>
        </w:rPr>
      </w:pPr>
      <w:r>
        <w:rPr>
          <w:rFonts w:hint="eastAsia" w:ascii="宋体" w:hAnsi="宋体"/>
          <w:szCs w:val="24"/>
        </w:rPr>
        <w:t>12.2</w:t>
      </w:r>
      <w:r>
        <w:rPr>
          <w:rFonts w:hint="eastAsia" w:ascii="宋体" w:hAnsi="宋体"/>
          <w:szCs w:val="21"/>
        </w:rPr>
        <w:t>投标人应保证，招标人在中华人民共和国</w:t>
      </w:r>
      <w:r>
        <w:rPr>
          <w:rFonts w:hint="eastAsia" w:ascii="宋体" w:hAnsi="宋体"/>
        </w:rPr>
        <w:t>使用</w:t>
      </w:r>
      <w:r>
        <w:rPr>
          <w:rFonts w:hint="eastAsia" w:ascii="宋体" w:hAnsi="宋体"/>
          <w:szCs w:val="21"/>
        </w:rPr>
        <w:t>货物或货物的任何一部分时，招标人免受第三方提出侵犯其专利权、商标权或其它知识产权的起诉，否则需对招标人承担赔偿责任。</w:t>
      </w:r>
    </w:p>
    <w:p>
      <w:pPr>
        <w:spacing w:line="310" w:lineRule="exact"/>
        <w:ind w:firstLine="420" w:firstLineChars="200"/>
        <w:rPr>
          <w:rFonts w:ascii="宋体" w:hAnsi="宋体"/>
          <w:szCs w:val="24"/>
        </w:rPr>
      </w:pPr>
      <w:r>
        <w:rPr>
          <w:rFonts w:hint="eastAsia" w:ascii="宋体" w:hAnsi="宋体"/>
          <w:szCs w:val="21"/>
        </w:rPr>
        <w:t>12.3投标价应包括所有应支付的对专利权和版权或</w:t>
      </w:r>
      <w:r>
        <w:rPr>
          <w:rFonts w:hint="eastAsia" w:ascii="宋体" w:hAnsi="宋体"/>
        </w:rPr>
        <w:t>其他</w:t>
      </w:r>
      <w:r>
        <w:rPr>
          <w:rFonts w:hint="eastAsia" w:ascii="宋体" w:hAnsi="宋体"/>
          <w:szCs w:val="21"/>
        </w:rPr>
        <w:t>知识产权而需要向其他方支付的费用。</w:t>
      </w:r>
    </w:p>
    <w:p>
      <w:pPr>
        <w:tabs>
          <w:tab w:val="left" w:pos="630"/>
        </w:tabs>
        <w:spacing w:line="310" w:lineRule="exact"/>
        <w:ind w:left="425"/>
        <w:rPr>
          <w:rFonts w:ascii="宋体" w:hAnsi="宋体"/>
          <w:b/>
        </w:rPr>
      </w:pPr>
      <w:r>
        <w:rPr>
          <w:rFonts w:hint="eastAsia" w:ascii="宋体" w:hAnsi="宋体"/>
          <w:b/>
        </w:rPr>
        <w:t>13. 投标报价</w:t>
      </w:r>
    </w:p>
    <w:p>
      <w:pPr>
        <w:tabs>
          <w:tab w:val="left" w:pos="735"/>
        </w:tabs>
        <w:spacing w:line="310" w:lineRule="exact"/>
        <w:ind w:firstLine="420" w:firstLineChars="200"/>
        <w:rPr>
          <w:rFonts w:ascii="宋体" w:hAnsi="宋体" w:cs="宋体"/>
          <w:kern w:val="0"/>
          <w:szCs w:val="21"/>
        </w:rPr>
      </w:pPr>
      <w:r>
        <w:rPr>
          <w:rFonts w:hint="eastAsia" w:ascii="宋体" w:hAnsi="宋体" w:cs="ËÎÌå"/>
          <w:kern w:val="0"/>
          <w:szCs w:val="21"/>
        </w:rPr>
        <w:t>13.1</w:t>
      </w:r>
      <w:r>
        <w:rPr>
          <w:rFonts w:hint="eastAsia" w:ascii="宋体" w:hAnsi="宋体" w:cs="宋体"/>
          <w:kern w:val="0"/>
          <w:szCs w:val="21"/>
        </w:rPr>
        <w:t>投标人应按照招标文件中“用户需求书”的总体要求和本招标项目内容进行报价。投标报价中不得缺漏招标文件所要求的内容，否则，被视为包含在投标报价中。</w:t>
      </w:r>
    </w:p>
    <w:p>
      <w:pPr>
        <w:tabs>
          <w:tab w:val="left" w:pos="735"/>
        </w:tabs>
        <w:spacing w:line="310" w:lineRule="exact"/>
        <w:ind w:firstLine="420" w:firstLineChars="200"/>
        <w:rPr>
          <w:rFonts w:ascii="宋体" w:hAnsi="宋体" w:cs="宋体"/>
          <w:kern w:val="0"/>
          <w:szCs w:val="21"/>
        </w:rPr>
      </w:pPr>
      <w:r>
        <w:rPr>
          <w:rFonts w:hint="eastAsia" w:ascii="宋体" w:hAnsi="宋体"/>
          <w:szCs w:val="21"/>
        </w:rPr>
        <w:t>13.</w:t>
      </w:r>
      <w:r>
        <w:rPr>
          <w:rFonts w:ascii="宋体" w:hAnsi="宋体" w:cs="ËÎÌå"/>
          <w:kern w:val="0"/>
          <w:szCs w:val="21"/>
        </w:rPr>
        <w:t>2</w:t>
      </w:r>
      <w:r>
        <w:rPr>
          <w:rFonts w:hint="eastAsia" w:ascii="宋体" w:hAnsi="宋体" w:cs="宋体"/>
          <w:kern w:val="0"/>
          <w:szCs w:val="21"/>
        </w:rPr>
        <w:t>投标报价即为合同价，投标人不得在中标后提出任何变更费用要求，投标人在投标时应</w:t>
      </w:r>
      <w:r>
        <w:rPr>
          <w:rFonts w:hint="eastAsia" w:ascii="宋体" w:hAnsi="宋体"/>
          <w:szCs w:val="21"/>
        </w:rPr>
        <w:t>充分</w:t>
      </w:r>
      <w:r>
        <w:rPr>
          <w:rFonts w:hint="eastAsia" w:ascii="宋体" w:hAnsi="宋体" w:cs="宋体"/>
          <w:kern w:val="0"/>
          <w:szCs w:val="21"/>
        </w:rPr>
        <w:t>考虑相关风险性因素。合同期限内出现的任何遗漏，均由中标人负责，招标人不支付任何费用。</w:t>
      </w:r>
    </w:p>
    <w:p>
      <w:pPr>
        <w:tabs>
          <w:tab w:val="left" w:pos="735"/>
        </w:tabs>
        <w:spacing w:line="310" w:lineRule="exact"/>
        <w:ind w:firstLine="420" w:firstLineChars="200"/>
        <w:rPr>
          <w:rFonts w:ascii="宋体" w:hAnsi="宋体" w:cs="宋体"/>
          <w:kern w:val="0"/>
          <w:szCs w:val="21"/>
        </w:rPr>
      </w:pPr>
      <w:r>
        <w:rPr>
          <w:rFonts w:hint="eastAsia" w:ascii="宋体" w:hAnsi="宋体" w:cs="宋体"/>
          <w:kern w:val="0"/>
          <w:szCs w:val="21"/>
        </w:rPr>
        <w:t>13.3本次招标不接受具有附加条件的报价，否则将被视为无效投标。</w:t>
      </w:r>
    </w:p>
    <w:p>
      <w:pPr>
        <w:spacing w:line="310" w:lineRule="exact"/>
        <w:rPr>
          <w:rFonts w:ascii="宋体" w:hAnsi="宋体"/>
          <w:b/>
          <w:szCs w:val="21"/>
        </w:rPr>
      </w:pPr>
      <w:r>
        <w:rPr>
          <w:rFonts w:hint="eastAsia" w:ascii="宋体" w:hAnsi="宋体"/>
          <w:b/>
          <w:szCs w:val="21"/>
        </w:rPr>
        <w:t xml:space="preserve">    五、评标、定标</w:t>
      </w:r>
    </w:p>
    <w:p>
      <w:pPr>
        <w:spacing w:line="310" w:lineRule="exact"/>
        <w:ind w:firstLine="422" w:firstLineChars="200"/>
        <w:rPr>
          <w:rFonts w:ascii="宋体" w:hAnsi="宋体"/>
          <w:b/>
          <w:szCs w:val="21"/>
        </w:rPr>
      </w:pPr>
      <w:r>
        <w:rPr>
          <w:rFonts w:hint="eastAsia" w:ascii="宋体" w:hAnsi="宋体"/>
          <w:b/>
          <w:szCs w:val="21"/>
        </w:rPr>
        <w:t>1.评标</w:t>
      </w:r>
    </w:p>
    <w:p>
      <w:pPr>
        <w:spacing w:line="310" w:lineRule="exact"/>
        <w:ind w:firstLine="420" w:firstLineChars="200"/>
        <w:rPr>
          <w:rFonts w:ascii="宋体" w:hAnsi="宋体"/>
        </w:rPr>
      </w:pPr>
      <w:r>
        <w:rPr>
          <w:rFonts w:hint="eastAsia" w:ascii="宋体" w:hAnsi="宋体"/>
        </w:rPr>
        <w:t>1.1</w:t>
      </w:r>
      <w:r>
        <w:rPr>
          <w:rFonts w:ascii="宋体" w:hAnsi="宋体"/>
        </w:rPr>
        <w:t>为确保</w:t>
      </w:r>
      <w:r>
        <w:rPr>
          <w:rFonts w:hint="eastAsia" w:ascii="宋体" w:hAnsi="宋体"/>
        </w:rPr>
        <w:t>评审</w:t>
      </w:r>
      <w:r>
        <w:rPr>
          <w:rFonts w:ascii="宋体" w:hAnsi="宋体"/>
        </w:rPr>
        <w:t>工作公平、公正，成立评</w:t>
      </w:r>
      <w:r>
        <w:rPr>
          <w:rFonts w:hint="eastAsia" w:ascii="宋体" w:hAnsi="宋体"/>
        </w:rPr>
        <w:t>审</w:t>
      </w:r>
      <w:r>
        <w:rPr>
          <w:rFonts w:ascii="宋体" w:hAnsi="宋体"/>
        </w:rPr>
        <w:t>委员会。评</w:t>
      </w:r>
      <w:r>
        <w:rPr>
          <w:rFonts w:hint="eastAsia" w:ascii="宋体" w:hAnsi="宋体"/>
        </w:rPr>
        <w:t>审</w:t>
      </w:r>
      <w:r>
        <w:rPr>
          <w:rFonts w:ascii="宋体" w:hAnsi="宋体"/>
        </w:rPr>
        <w:t>委员会由招标人代表及有关专家组成</w:t>
      </w:r>
      <w:r>
        <w:rPr>
          <w:rFonts w:hint="eastAsia" w:ascii="宋体" w:hAnsi="宋体"/>
        </w:rPr>
        <w:t>评审委员会</w:t>
      </w:r>
      <w:r>
        <w:rPr>
          <w:rFonts w:ascii="宋体" w:hAnsi="宋体"/>
        </w:rPr>
        <w:t>。评</w:t>
      </w:r>
      <w:r>
        <w:rPr>
          <w:rFonts w:hint="eastAsia" w:ascii="宋体" w:hAnsi="宋体"/>
        </w:rPr>
        <w:t>审</w:t>
      </w:r>
      <w:r>
        <w:rPr>
          <w:rFonts w:ascii="宋体" w:hAnsi="宋体"/>
        </w:rPr>
        <w:t>委员会成员应当遵守并履行下列义务：</w:t>
      </w:r>
    </w:p>
    <w:p>
      <w:pPr>
        <w:spacing w:line="310" w:lineRule="exact"/>
        <w:ind w:firstLine="420" w:firstLineChars="200"/>
        <w:rPr>
          <w:rFonts w:ascii="宋体" w:hAnsi="宋体"/>
        </w:rPr>
      </w:pPr>
      <w:r>
        <w:rPr>
          <w:rFonts w:hint="eastAsia" w:ascii="宋体" w:hAnsi="宋体"/>
        </w:rPr>
        <w:t>1)</w:t>
      </w:r>
      <w:r>
        <w:rPr>
          <w:rFonts w:ascii="宋体" w:hAnsi="宋体"/>
        </w:rPr>
        <w:t>遵纪守法，客观、公正、廉洁地履行职责，审查投标文件是否符合招标文件的要求，并做出评价。</w:t>
      </w:r>
    </w:p>
    <w:p>
      <w:pPr>
        <w:spacing w:line="310" w:lineRule="exact"/>
        <w:ind w:firstLine="420" w:firstLineChars="200"/>
        <w:rPr>
          <w:rFonts w:ascii="宋体" w:hAnsi="宋体"/>
        </w:rPr>
      </w:pPr>
      <w:r>
        <w:rPr>
          <w:rFonts w:hint="eastAsia" w:ascii="宋体" w:hAnsi="宋体"/>
        </w:rPr>
        <w:t>2)</w:t>
      </w:r>
      <w:r>
        <w:rPr>
          <w:rFonts w:ascii="宋体" w:hAnsi="宋体"/>
        </w:rPr>
        <w:t>要求投标人对招标文件有关事项</w:t>
      </w:r>
      <w:r>
        <w:rPr>
          <w:rFonts w:hint="eastAsia" w:ascii="宋体" w:hAnsi="宋体"/>
        </w:rPr>
        <w:t>做</w:t>
      </w:r>
      <w:r>
        <w:rPr>
          <w:rFonts w:ascii="宋体" w:hAnsi="宋体"/>
        </w:rPr>
        <w:t>出解释或澄清。</w:t>
      </w:r>
    </w:p>
    <w:p>
      <w:pPr>
        <w:spacing w:line="310" w:lineRule="exact"/>
        <w:ind w:firstLine="420" w:firstLineChars="200"/>
        <w:rPr>
          <w:rFonts w:ascii="宋体" w:hAnsi="宋体"/>
        </w:rPr>
      </w:pPr>
      <w:r>
        <w:rPr>
          <w:rFonts w:hint="eastAsia" w:ascii="宋体" w:hAnsi="宋体"/>
        </w:rPr>
        <w:t>3)</w:t>
      </w:r>
      <w:r>
        <w:rPr>
          <w:rFonts w:ascii="宋体" w:hAnsi="宋体"/>
        </w:rPr>
        <w:t>按照招标文件的要求和评</w:t>
      </w:r>
      <w:r>
        <w:rPr>
          <w:rFonts w:hint="eastAsia" w:ascii="宋体" w:hAnsi="宋体"/>
        </w:rPr>
        <w:t>审</w:t>
      </w:r>
      <w:r>
        <w:rPr>
          <w:rFonts w:ascii="宋体" w:hAnsi="宋体"/>
        </w:rPr>
        <w:t>标准进行</w:t>
      </w:r>
      <w:r>
        <w:rPr>
          <w:rFonts w:hint="eastAsia" w:ascii="宋体" w:hAnsi="宋体"/>
        </w:rPr>
        <w:t>评标</w:t>
      </w:r>
      <w:r>
        <w:rPr>
          <w:rFonts w:ascii="宋体" w:hAnsi="宋体"/>
        </w:rPr>
        <w:t>，推荐</w:t>
      </w:r>
      <w:r>
        <w:rPr>
          <w:rFonts w:hint="eastAsia" w:ascii="宋体" w:hAnsi="宋体"/>
        </w:rPr>
        <w:t>中标</w:t>
      </w:r>
      <w:r>
        <w:rPr>
          <w:rFonts w:ascii="宋体" w:hAnsi="宋体"/>
        </w:rPr>
        <w:t>候选单位名单，对评审意见承担个人责任。</w:t>
      </w:r>
    </w:p>
    <w:p>
      <w:pPr>
        <w:spacing w:line="310" w:lineRule="exact"/>
        <w:ind w:firstLine="420" w:firstLineChars="200"/>
        <w:rPr>
          <w:rFonts w:ascii="宋体" w:hAnsi="宋体"/>
        </w:rPr>
      </w:pPr>
      <w:r>
        <w:rPr>
          <w:rFonts w:hint="eastAsia" w:ascii="宋体" w:hAnsi="宋体"/>
        </w:rPr>
        <w:t>4)</w:t>
      </w:r>
      <w:r>
        <w:rPr>
          <w:rFonts w:ascii="宋体" w:hAnsi="宋体"/>
        </w:rPr>
        <w:t>对评</w:t>
      </w:r>
      <w:r>
        <w:rPr>
          <w:rFonts w:hint="eastAsia" w:ascii="宋体" w:hAnsi="宋体"/>
        </w:rPr>
        <w:t>审</w:t>
      </w:r>
      <w:r>
        <w:rPr>
          <w:rFonts w:ascii="宋体" w:hAnsi="宋体"/>
        </w:rPr>
        <w:t>过程和结果以及投标人的商业秘密保密。</w:t>
      </w:r>
    </w:p>
    <w:p>
      <w:pPr>
        <w:spacing w:line="310" w:lineRule="exact"/>
        <w:ind w:firstLine="420" w:firstLineChars="200"/>
        <w:rPr>
          <w:rFonts w:ascii="宋体" w:hAnsi="宋体"/>
        </w:rPr>
      </w:pPr>
      <w:r>
        <w:rPr>
          <w:rFonts w:hint="eastAsia" w:ascii="宋体" w:hAnsi="宋体"/>
        </w:rPr>
        <w:t>5)</w:t>
      </w:r>
      <w:r>
        <w:rPr>
          <w:rFonts w:ascii="宋体" w:hAnsi="宋体"/>
        </w:rPr>
        <w:t>参与评</w:t>
      </w:r>
      <w:r>
        <w:rPr>
          <w:rFonts w:hint="eastAsia" w:ascii="宋体" w:hAnsi="宋体"/>
        </w:rPr>
        <w:t>审</w:t>
      </w:r>
      <w:r>
        <w:rPr>
          <w:rFonts w:ascii="宋体" w:hAnsi="宋体"/>
        </w:rPr>
        <w:t>报告的起草。</w:t>
      </w:r>
    </w:p>
    <w:p>
      <w:pPr>
        <w:spacing w:line="310" w:lineRule="exact"/>
        <w:ind w:firstLine="420" w:firstLineChars="200"/>
        <w:rPr>
          <w:rFonts w:ascii="宋体" w:hAnsi="宋体"/>
        </w:rPr>
      </w:pPr>
      <w:r>
        <w:rPr>
          <w:rFonts w:hint="eastAsia" w:ascii="宋体" w:hAnsi="宋体"/>
        </w:rPr>
        <w:t>6)</w:t>
      </w:r>
      <w:r>
        <w:rPr>
          <w:rFonts w:ascii="宋体" w:hAnsi="宋体"/>
        </w:rPr>
        <w:t>配合招标代理机构答复投标人提出的</w:t>
      </w:r>
      <w:r>
        <w:rPr>
          <w:rFonts w:hint="eastAsia" w:ascii="宋体" w:hAnsi="宋体"/>
        </w:rPr>
        <w:t>澄清</w:t>
      </w:r>
      <w:r>
        <w:rPr>
          <w:rFonts w:ascii="宋体" w:hAnsi="宋体"/>
        </w:rPr>
        <w:t>。</w:t>
      </w:r>
    </w:p>
    <w:p>
      <w:pPr>
        <w:spacing w:line="310" w:lineRule="exact"/>
        <w:ind w:firstLine="420" w:firstLineChars="200"/>
        <w:rPr>
          <w:rFonts w:ascii="宋体" w:hAnsi="宋体"/>
        </w:rPr>
      </w:pPr>
      <w:r>
        <w:rPr>
          <w:rFonts w:hint="eastAsia" w:ascii="宋体" w:hAnsi="宋体"/>
        </w:rPr>
        <w:t>1.2投标文件的澄清：对投标文件中含义不明确的内容，评标委员会可要求投标人做出必要的澄清。投标人澄清采用书面形式，由其授权代表签字，必须符合原投标文件的范围或者实质性内容。</w:t>
      </w:r>
    </w:p>
    <w:p>
      <w:pPr>
        <w:spacing w:line="310" w:lineRule="exact"/>
        <w:ind w:firstLine="420" w:firstLineChars="200"/>
        <w:rPr>
          <w:rFonts w:ascii="宋体" w:hAnsi="宋体"/>
        </w:rPr>
      </w:pPr>
      <w:r>
        <w:rPr>
          <w:rFonts w:hint="eastAsia" w:ascii="宋体" w:hAnsi="宋体"/>
        </w:rPr>
        <w:t>1.3评标不向落标人解释落标原因，不退还投标文件。</w:t>
      </w:r>
    </w:p>
    <w:p>
      <w:pPr>
        <w:spacing w:line="310" w:lineRule="exact"/>
        <w:ind w:firstLine="422" w:firstLineChars="200"/>
        <w:rPr>
          <w:rFonts w:ascii="宋体" w:hAnsi="宋体"/>
          <w:b/>
          <w:szCs w:val="21"/>
        </w:rPr>
      </w:pPr>
      <w:r>
        <w:rPr>
          <w:rFonts w:hint="eastAsia" w:ascii="宋体" w:hAnsi="宋体"/>
          <w:b/>
          <w:szCs w:val="21"/>
        </w:rPr>
        <w:t>2.</w:t>
      </w:r>
      <w:r>
        <w:rPr>
          <w:rFonts w:hint="eastAsia" w:ascii="宋体" w:hAnsi="宋体"/>
          <w:b/>
        </w:rPr>
        <w:t>定标</w:t>
      </w:r>
    </w:p>
    <w:p>
      <w:pPr>
        <w:spacing w:line="310" w:lineRule="exact"/>
        <w:ind w:firstLine="420" w:firstLineChars="200"/>
        <w:rPr>
          <w:rFonts w:ascii="宋体" w:hAnsi="宋体"/>
          <w:b/>
          <w:szCs w:val="21"/>
        </w:rPr>
      </w:pPr>
      <w:bookmarkStart w:id="20" w:name="_Toc46738144"/>
      <w:bookmarkStart w:id="21" w:name="_Toc46738405"/>
      <w:bookmarkStart w:id="22" w:name="_Toc46738278"/>
      <w:r>
        <w:rPr>
          <w:rFonts w:hint="eastAsia" w:ascii="宋体" w:hAnsi="宋体"/>
          <w:szCs w:val="21"/>
        </w:rPr>
        <w:t>2.1评标</w:t>
      </w:r>
      <w:r>
        <w:rPr>
          <w:rFonts w:hint="eastAsia" w:ascii="宋体" w:hAnsi="宋体"/>
        </w:rPr>
        <w:t>委员会</w:t>
      </w:r>
      <w:r>
        <w:rPr>
          <w:rFonts w:hint="eastAsia" w:ascii="宋体" w:hAnsi="宋体"/>
          <w:szCs w:val="21"/>
        </w:rPr>
        <w:t>完成评标后，应向招标人</w:t>
      </w:r>
      <w:r>
        <w:rPr>
          <w:rFonts w:hint="eastAsia" w:ascii="宋体" w:hAnsi="宋体"/>
        </w:rPr>
        <w:t>提出</w:t>
      </w:r>
      <w:r>
        <w:rPr>
          <w:rFonts w:hint="eastAsia" w:ascii="宋体" w:hAnsi="宋体"/>
          <w:szCs w:val="21"/>
        </w:rPr>
        <w:t>书面评标报告，按评标结果推荐一至三名中标候选人，并标明排列顺序。</w:t>
      </w:r>
      <w:r>
        <w:rPr>
          <w:rFonts w:hint="eastAsia" w:ascii="宋体" w:hAnsi="宋体"/>
        </w:rPr>
        <w:t>招标</w:t>
      </w:r>
      <w:r>
        <w:rPr>
          <w:rFonts w:hint="eastAsia" w:ascii="宋体" w:hAnsi="宋体"/>
          <w:szCs w:val="21"/>
        </w:rPr>
        <w:t>代理机构根据招标人确认的评标结果</w:t>
      </w:r>
      <w:r>
        <w:rPr>
          <w:rFonts w:hint="eastAsia" w:ascii="宋体" w:hAnsi="宋体"/>
          <w:szCs w:val="21"/>
          <w:lang w:val="en-GB"/>
        </w:rPr>
        <w:t>在指定媒体上</w:t>
      </w:r>
      <w:r>
        <w:rPr>
          <w:rFonts w:hint="eastAsia" w:ascii="宋体" w:hAnsi="宋体"/>
        </w:rPr>
        <w:t>发布</w:t>
      </w:r>
      <w:r>
        <w:rPr>
          <w:rFonts w:hint="eastAsia" w:ascii="宋体" w:hAnsi="宋体"/>
          <w:szCs w:val="21"/>
          <w:lang w:val="en-GB"/>
        </w:rPr>
        <w:t>中标</w:t>
      </w:r>
      <w:r>
        <w:rPr>
          <w:rFonts w:hint="eastAsia" w:ascii="宋体" w:hAnsi="宋体"/>
          <w:szCs w:val="21"/>
        </w:rPr>
        <w:t>公</w:t>
      </w:r>
      <w:r>
        <w:rPr>
          <w:rFonts w:hint="eastAsia" w:ascii="宋体" w:hAnsi="宋体"/>
          <w:szCs w:val="21"/>
          <w:lang w:val="en-GB"/>
        </w:rPr>
        <w:t>示，</w:t>
      </w:r>
      <w:r>
        <w:rPr>
          <w:rFonts w:hint="eastAsia" w:ascii="宋体" w:hAnsi="宋体"/>
          <w:szCs w:val="21"/>
        </w:rPr>
        <w:t>发出中标通知书。</w:t>
      </w:r>
    </w:p>
    <w:p>
      <w:pPr>
        <w:spacing w:line="310" w:lineRule="exact"/>
        <w:ind w:firstLine="420" w:firstLineChars="200"/>
        <w:rPr>
          <w:rFonts w:ascii="宋体" w:hAnsi="宋体"/>
        </w:rPr>
      </w:pPr>
      <w:r>
        <w:rPr>
          <w:rFonts w:hint="eastAsia" w:ascii="宋体" w:hAnsi="宋体"/>
        </w:rPr>
        <w:t>2.2排名第一的中标候选人放弃中标、或因不可抗力提出不能履行合同，或者招标文件规定应当提交履约担保而在规定的期限内未能提交的，招标人可以确定排名第二的中标候选人为中标人，排名第二的中标候选人出现前款所列的情形的，招标人可以确定排名第三的中标候选人为中标人。</w:t>
      </w:r>
      <w:bookmarkEnd w:id="20"/>
      <w:bookmarkEnd w:id="21"/>
      <w:bookmarkEnd w:id="22"/>
    </w:p>
    <w:p>
      <w:pPr>
        <w:spacing w:line="310" w:lineRule="exact"/>
        <w:ind w:firstLine="422" w:firstLineChars="200"/>
        <w:rPr>
          <w:rFonts w:ascii="宋体" w:hAnsi="宋体"/>
          <w:b/>
        </w:rPr>
      </w:pPr>
      <w:r>
        <w:rPr>
          <w:rFonts w:hint="eastAsia" w:ascii="宋体" w:hAnsi="宋体"/>
          <w:b/>
        </w:rPr>
        <w:t>六、</w:t>
      </w:r>
      <w:r>
        <w:rPr>
          <w:rFonts w:ascii="宋体" w:hAnsi="宋体"/>
          <w:b/>
          <w:szCs w:val="21"/>
        </w:rPr>
        <w:t>评标方法</w:t>
      </w:r>
    </w:p>
    <w:p>
      <w:pPr>
        <w:spacing w:line="310" w:lineRule="exact"/>
        <w:ind w:firstLine="420" w:firstLineChars="200"/>
        <w:rPr>
          <w:rFonts w:ascii="宋体" w:hAnsi="宋体"/>
          <w:szCs w:val="21"/>
        </w:rPr>
      </w:pPr>
      <w:r>
        <w:rPr>
          <w:rFonts w:hint="eastAsia" w:ascii="宋体" w:hAnsi="宋体"/>
        </w:rPr>
        <w:t>本次项目的评标方法采用综合评价方法。</w:t>
      </w:r>
      <w:r>
        <w:rPr>
          <w:rFonts w:hint="eastAsia" w:ascii="宋体" w:hAnsi="宋体"/>
          <w:szCs w:val="21"/>
        </w:rPr>
        <w:t>评标分两个阶段进行：第一阶段：资格后审，即投标文件资格性及符合性检查；第二阶段：投标文件详细评审。各评委首先对各投标文件进行资格性及符合性检查，未通过资格性及符合性检查的投标人，将不得进行下一阶段的详细评审。</w:t>
      </w:r>
      <w:r>
        <w:rPr>
          <w:rFonts w:hint="eastAsia" w:ascii="宋体" w:hAnsi="宋体"/>
        </w:rPr>
        <w:t>具体方法及流程如下：</w:t>
      </w:r>
    </w:p>
    <w:p>
      <w:pPr>
        <w:spacing w:line="310" w:lineRule="exact"/>
        <w:ind w:firstLine="422" w:firstLineChars="200"/>
        <w:rPr>
          <w:rFonts w:ascii="宋体" w:hAnsi="宋体"/>
          <w:b/>
        </w:rPr>
      </w:pPr>
      <w:r>
        <w:rPr>
          <w:rFonts w:hint="eastAsia" w:ascii="宋体" w:hAnsi="宋体"/>
          <w:b/>
        </w:rPr>
        <w:t>1.资格性及符合性检查</w:t>
      </w:r>
    </w:p>
    <w:p>
      <w:pPr>
        <w:spacing w:line="310" w:lineRule="exact"/>
        <w:ind w:firstLine="420" w:firstLineChars="200"/>
        <w:rPr>
          <w:rFonts w:ascii="宋体" w:hAnsi="宋体"/>
          <w:szCs w:val="21"/>
        </w:rPr>
      </w:pPr>
      <w:r>
        <w:rPr>
          <w:rFonts w:hint="eastAsia" w:ascii="宋体" w:hAnsi="宋体"/>
          <w:szCs w:val="21"/>
        </w:rPr>
        <w:t>评标委员会根据招标文件的规定，对各投标文件进行资格性及符合性检查。只有全部满足《资格性及符合性检查表》所列各项要求的投标才是有效投标，只要不满足</w:t>
      </w:r>
      <w:r>
        <w:rPr>
          <w:rFonts w:hint="eastAsia" w:ascii="宋体" w:hAnsi="宋体"/>
        </w:rPr>
        <w:t>《资格性及符合性检查表》</w:t>
      </w:r>
      <w:r>
        <w:rPr>
          <w:rFonts w:hint="eastAsia" w:ascii="宋体" w:hAnsi="宋体"/>
          <w:szCs w:val="21"/>
        </w:rPr>
        <w:t>所列各项要求之一的，将被认定为无效投标。如评标委员会成员的评审意见不一致时，以评委会过半数成员的意见作为最终评审意见（该情形的</w:t>
      </w:r>
      <w:r>
        <w:rPr>
          <w:rFonts w:hint="eastAsia" w:ascii="宋体" w:hAnsi="宋体"/>
        </w:rPr>
        <w:t>认定</w:t>
      </w:r>
      <w:r>
        <w:rPr>
          <w:rFonts w:hint="eastAsia" w:ascii="宋体" w:hAnsi="宋体"/>
          <w:szCs w:val="21"/>
        </w:rPr>
        <w:t>结论）。</w:t>
      </w:r>
    </w:p>
    <w:p>
      <w:pPr>
        <w:spacing w:line="310" w:lineRule="exact"/>
        <w:ind w:firstLine="422" w:firstLineChars="200"/>
        <w:rPr>
          <w:rFonts w:ascii="宋体" w:hAnsi="宋体"/>
          <w:b/>
        </w:rPr>
      </w:pPr>
      <w:r>
        <w:rPr>
          <w:rFonts w:ascii="宋体" w:hAnsi="宋体"/>
          <w:b/>
        </w:rPr>
        <w:t>未通过资格预审的申请人提交的投标文件，以及逾期送达或者不按照招标文件要求密封的投标文件，招标人</w:t>
      </w:r>
      <w:r>
        <w:rPr>
          <w:rFonts w:hint="eastAsia" w:ascii="宋体" w:hAnsi="宋体"/>
          <w:b/>
        </w:rPr>
        <w:t>、采购代理机构</w:t>
      </w:r>
      <w:r>
        <w:rPr>
          <w:rFonts w:ascii="宋体" w:hAnsi="宋体"/>
          <w:b/>
        </w:rPr>
        <w:t>应当拒收</w:t>
      </w:r>
      <w:r>
        <w:rPr>
          <w:rFonts w:hint="eastAsia" w:ascii="宋体" w:hAnsi="宋体"/>
          <w:b/>
        </w:rPr>
        <w:t>。</w:t>
      </w:r>
    </w:p>
    <w:p>
      <w:pPr>
        <w:spacing w:line="310" w:lineRule="exact"/>
        <w:ind w:firstLine="422" w:firstLineChars="200"/>
        <w:rPr>
          <w:rFonts w:ascii="宋体" w:hAnsi="宋体"/>
          <w:b/>
        </w:rPr>
      </w:pPr>
      <w:r>
        <w:rPr>
          <w:rFonts w:hint="eastAsia" w:ascii="宋体" w:hAnsi="宋体"/>
          <w:b/>
        </w:rPr>
        <w:t>出现下列情况（但不限于），视为无效投标。</w:t>
      </w:r>
    </w:p>
    <w:p>
      <w:pPr>
        <w:spacing w:line="310" w:lineRule="exact"/>
        <w:ind w:firstLine="420" w:firstLineChars="200"/>
        <w:rPr>
          <w:rFonts w:ascii="宋体" w:hAnsi="宋体"/>
        </w:rPr>
      </w:pPr>
      <w:r>
        <w:rPr>
          <w:rFonts w:hint="eastAsia" w:ascii="宋体" w:hAnsi="宋体"/>
        </w:rPr>
        <w:t>（1）与招标人存在利害关系可能影响招标公正性的法人、其他组织或者个人；</w:t>
      </w:r>
    </w:p>
    <w:p>
      <w:pPr>
        <w:spacing w:line="310" w:lineRule="exact"/>
        <w:ind w:left="525" w:leftChars="200" w:hanging="105" w:hangingChars="50"/>
        <w:rPr>
          <w:rFonts w:ascii="宋体" w:hAnsi="宋体"/>
        </w:rPr>
      </w:pPr>
      <w:r>
        <w:rPr>
          <w:rFonts w:hint="eastAsia" w:ascii="宋体" w:hAnsi="宋体"/>
        </w:rPr>
        <w:t>（2）单位负责人为同一人或者存在控股、管理关系的不同单位，不得参加同一标段投标或者未划分标段的同一招标项目投标；</w:t>
      </w:r>
    </w:p>
    <w:p>
      <w:pPr>
        <w:spacing w:line="310" w:lineRule="exact"/>
        <w:ind w:firstLine="420" w:firstLineChars="200"/>
        <w:rPr>
          <w:rFonts w:ascii="宋体" w:hAnsi="宋体"/>
        </w:rPr>
      </w:pPr>
      <w:r>
        <w:rPr>
          <w:rFonts w:hint="eastAsia" w:ascii="宋体" w:hAnsi="宋体"/>
        </w:rPr>
        <w:t>（3）不具备招标文件中规定的资格要求的；</w:t>
      </w:r>
    </w:p>
    <w:p>
      <w:pPr>
        <w:spacing w:line="310" w:lineRule="exact"/>
        <w:ind w:firstLine="420" w:firstLineChars="200"/>
        <w:rPr>
          <w:rFonts w:ascii="宋体" w:hAnsi="宋体"/>
        </w:rPr>
      </w:pPr>
      <w:r>
        <w:rPr>
          <w:rFonts w:hint="eastAsia" w:ascii="宋体" w:hAnsi="宋体"/>
        </w:rPr>
        <w:t>（4）同一投标人提交两个以上不同的投标文件或者投标报价的；</w:t>
      </w:r>
    </w:p>
    <w:p>
      <w:pPr>
        <w:spacing w:line="310" w:lineRule="exact"/>
        <w:ind w:firstLine="420" w:firstLineChars="200"/>
        <w:rPr>
          <w:rFonts w:ascii="宋体" w:hAnsi="宋体"/>
        </w:rPr>
      </w:pPr>
      <w:r>
        <w:rPr>
          <w:rFonts w:hint="eastAsia" w:ascii="宋体" w:hAnsi="宋体"/>
        </w:rPr>
        <w:t>（5）投标货物主要技术、商务、服务内容未完全满足招标文件带“★”号的条款或指标；</w:t>
      </w:r>
    </w:p>
    <w:p>
      <w:pPr>
        <w:spacing w:line="310" w:lineRule="exact"/>
        <w:ind w:firstLine="420" w:firstLineChars="200"/>
        <w:rPr>
          <w:rFonts w:ascii="宋体" w:hAnsi="宋体"/>
        </w:rPr>
      </w:pPr>
      <w:r>
        <w:rPr>
          <w:rFonts w:hint="eastAsia" w:ascii="宋体" w:hAnsi="宋体"/>
        </w:rPr>
        <w:t>（6）未按招标文件规定格式填写或者字迹不清楚的；</w:t>
      </w:r>
    </w:p>
    <w:p>
      <w:pPr>
        <w:spacing w:line="310" w:lineRule="exact"/>
        <w:ind w:firstLine="420" w:firstLineChars="200"/>
        <w:rPr>
          <w:rFonts w:ascii="宋体" w:hAnsi="宋体"/>
        </w:rPr>
      </w:pPr>
      <w:r>
        <w:rPr>
          <w:rFonts w:hint="eastAsia" w:ascii="宋体" w:hAnsi="宋体"/>
        </w:rPr>
        <w:t>（7）未按招标文件要求加盖法人或者单位公章的；</w:t>
      </w:r>
    </w:p>
    <w:p>
      <w:pPr>
        <w:spacing w:line="310" w:lineRule="exact"/>
        <w:ind w:firstLine="420" w:firstLineChars="200"/>
        <w:rPr>
          <w:rFonts w:ascii="宋体" w:hAnsi="宋体"/>
        </w:rPr>
      </w:pPr>
      <w:r>
        <w:rPr>
          <w:rFonts w:hint="eastAsia" w:ascii="宋体" w:hAnsi="宋体"/>
        </w:rPr>
        <w:t>（8）法定代表人或者被授权人未按招标文件要求签字的；</w:t>
      </w:r>
    </w:p>
    <w:p>
      <w:pPr>
        <w:spacing w:line="310" w:lineRule="exact"/>
        <w:ind w:firstLine="420" w:firstLineChars="200"/>
        <w:rPr>
          <w:rFonts w:ascii="宋体" w:hAnsi="宋体"/>
        </w:rPr>
      </w:pPr>
      <w:r>
        <w:rPr>
          <w:rFonts w:hint="eastAsia" w:ascii="宋体" w:hAnsi="宋体"/>
        </w:rPr>
        <w:t>（9）</w:t>
      </w:r>
      <w:r>
        <w:rPr>
          <w:rFonts w:ascii="宋体" w:hAnsi="宋体"/>
        </w:rPr>
        <w:t>投标人的报价</w:t>
      </w:r>
      <w:r>
        <w:rPr>
          <w:rFonts w:hint="eastAsia" w:ascii="宋体" w:hAnsi="宋体"/>
        </w:rPr>
        <w:t>低于租金最低限价</w:t>
      </w:r>
      <w:r>
        <w:rPr>
          <w:rFonts w:hint="eastAsia" w:ascii="宋体" w:hAnsi="宋体"/>
          <w:lang w:val="en-US" w:eastAsia="zh-CN"/>
        </w:rPr>
        <w:t>,</w:t>
      </w:r>
      <w:r>
        <w:rPr>
          <w:rFonts w:hint="eastAsia" w:ascii="宋体" w:hAnsi="宋体"/>
        </w:rPr>
        <w:t>关键、主要内容无漏项；</w:t>
      </w:r>
    </w:p>
    <w:p>
      <w:pPr>
        <w:spacing w:line="310" w:lineRule="exact"/>
        <w:ind w:firstLine="420" w:firstLineChars="200"/>
        <w:rPr>
          <w:rFonts w:ascii="宋体" w:hAnsi="宋体"/>
        </w:rPr>
      </w:pPr>
      <w:r>
        <w:rPr>
          <w:rFonts w:hint="eastAsia" w:ascii="宋体" w:hAnsi="宋体"/>
        </w:rPr>
        <w:t>（10）未提供有效投标文件的；</w:t>
      </w:r>
    </w:p>
    <w:p>
      <w:pPr>
        <w:spacing w:line="310" w:lineRule="exact"/>
        <w:ind w:firstLine="420" w:firstLineChars="200"/>
        <w:rPr>
          <w:rFonts w:ascii="宋体" w:hAnsi="宋体"/>
        </w:rPr>
      </w:pPr>
      <w:r>
        <w:rPr>
          <w:rFonts w:hint="eastAsia" w:ascii="宋体" w:hAnsi="宋体"/>
        </w:rPr>
        <w:t>（11）未按招标文件要求提交投标保证金的（如有）。</w:t>
      </w:r>
    </w:p>
    <w:p>
      <w:pPr>
        <w:spacing w:line="310" w:lineRule="exact"/>
        <w:ind w:firstLine="422" w:firstLineChars="200"/>
        <w:rPr>
          <w:rFonts w:ascii="宋体" w:hAnsi="宋体"/>
          <w:b/>
        </w:rPr>
      </w:pPr>
      <w:r>
        <w:rPr>
          <w:rFonts w:hint="eastAsia" w:ascii="宋体" w:hAnsi="宋体"/>
          <w:b/>
        </w:rPr>
        <w:t>2.详细评审</w:t>
      </w:r>
    </w:p>
    <w:p>
      <w:pPr>
        <w:spacing w:line="310" w:lineRule="exact"/>
        <w:ind w:firstLine="420" w:firstLineChars="200"/>
        <w:rPr>
          <w:rFonts w:ascii="宋体" w:hAnsi="宋体"/>
          <w:szCs w:val="21"/>
        </w:rPr>
      </w:pPr>
      <w:r>
        <w:rPr>
          <w:rFonts w:hint="eastAsia" w:ascii="宋体" w:hAnsi="宋体"/>
          <w:szCs w:val="21"/>
        </w:rPr>
        <w:t>2.1评标委员会只对确定为实质上响应招标文件要求的投标，即通过资格性及符合性检查的投标进行评价和比较。响应的依据是招标文件本身的内容，而不</w:t>
      </w:r>
      <w:r>
        <w:rPr>
          <w:rFonts w:hint="eastAsia" w:ascii="宋体" w:hAnsi="宋体"/>
        </w:rPr>
        <w:t>寻求</w:t>
      </w:r>
      <w:r>
        <w:rPr>
          <w:rFonts w:hint="eastAsia" w:ascii="宋体" w:hAnsi="宋体"/>
          <w:szCs w:val="21"/>
        </w:rPr>
        <w:t>其它证据。实质性响应的投标应该是与招标文件要求的全部主要条款、条件和规格相符，没有重大</w:t>
      </w:r>
      <w:r>
        <w:rPr>
          <w:rFonts w:hint="eastAsia" w:ascii="宋体" w:hAnsi="宋体"/>
        </w:rPr>
        <w:t>偏离或保留</w:t>
      </w:r>
      <w:r>
        <w:rPr>
          <w:rFonts w:hint="eastAsia" w:ascii="宋体" w:hAnsi="宋体"/>
          <w:szCs w:val="21"/>
        </w:rPr>
        <w:t>的投标。</w:t>
      </w:r>
      <w:r>
        <w:rPr>
          <w:rFonts w:hint="eastAsia" w:ascii="宋体" w:hAnsi="宋体"/>
        </w:rPr>
        <w:t>重大偏离或保留是指实质上影响合同的供货范围、质量和性能，或者实质上与招标文件不一致，而且限制了合同中招标人的权利或投标人的义务，纠正这些偏离或保留将会对其他实质上响应要求的投标人的竞争地位产生不公正的影响。</w:t>
      </w:r>
    </w:p>
    <w:p>
      <w:pPr>
        <w:spacing w:line="310" w:lineRule="exact"/>
        <w:ind w:firstLine="420" w:firstLineChars="200"/>
        <w:rPr>
          <w:rFonts w:ascii="宋体" w:hAnsi="宋体"/>
        </w:rPr>
      </w:pPr>
      <w:r>
        <w:rPr>
          <w:rFonts w:hint="eastAsia" w:ascii="宋体" w:hAnsi="宋体"/>
        </w:rPr>
        <w:t>2.2当通过资格性及符合性检查的投标人多于或等于三家时，按照评标办法、资格性及符合性检查结果，各位评委单独就每个投标人的技术状况、商务状况进行评审，并对其技术、商务和价格分别评分。将技术得分、商务得分和价格得分相加得出总分，并按总分高低排出名次（出现并列得分时，</w:t>
      </w:r>
      <w:r>
        <w:rPr>
          <w:rFonts w:hint="eastAsia" w:ascii="宋体" w:hAnsi="宋体" w:cs="F14"/>
          <w:kern w:val="0"/>
          <w:szCs w:val="21"/>
        </w:rPr>
        <w:t>所有项目有效投标报价总额</w:t>
      </w:r>
      <w:r>
        <w:rPr>
          <w:rFonts w:hint="eastAsia" w:ascii="宋体" w:hAnsi="宋体"/>
        </w:rPr>
        <w:t>高者排名在前）。</w:t>
      </w:r>
    </w:p>
    <w:p>
      <w:pPr>
        <w:spacing w:line="310" w:lineRule="exact"/>
        <w:ind w:firstLine="422" w:firstLineChars="200"/>
        <w:rPr>
          <w:rFonts w:ascii="宋体" w:hAnsi="宋体"/>
          <w:b/>
        </w:rPr>
      </w:pPr>
      <w:r>
        <w:rPr>
          <w:rFonts w:hint="eastAsia" w:ascii="宋体" w:hAnsi="宋体"/>
          <w:b/>
        </w:rPr>
        <w:t>对内容存在下列重大偏差，实质上不能响应招标文件要求的投标文件，将做为废标处理：</w:t>
      </w:r>
    </w:p>
    <w:p>
      <w:pPr>
        <w:spacing w:line="310" w:lineRule="exact"/>
        <w:ind w:firstLine="420" w:firstLineChars="200"/>
        <w:rPr>
          <w:rFonts w:ascii="宋体" w:hAnsi="宋体"/>
        </w:rPr>
      </w:pPr>
      <w:r>
        <w:rPr>
          <w:rFonts w:hint="eastAsia" w:ascii="宋体" w:hAnsi="宋体"/>
        </w:rPr>
        <w:t>（1）不能满足完成投标项目期限；</w:t>
      </w:r>
    </w:p>
    <w:p>
      <w:pPr>
        <w:spacing w:line="310" w:lineRule="exact"/>
        <w:ind w:firstLine="420" w:firstLineChars="200"/>
        <w:rPr>
          <w:rFonts w:ascii="宋体" w:hAnsi="宋体"/>
        </w:rPr>
      </w:pPr>
      <w:r>
        <w:rPr>
          <w:rFonts w:hint="eastAsia" w:ascii="宋体" w:hAnsi="宋体"/>
        </w:rPr>
        <w:t>（2）附有招标人无法接受的条件；</w:t>
      </w:r>
    </w:p>
    <w:p>
      <w:pPr>
        <w:spacing w:line="310" w:lineRule="exact"/>
        <w:ind w:firstLine="420" w:firstLineChars="200"/>
        <w:rPr>
          <w:rFonts w:ascii="宋体" w:hAnsi="宋体"/>
        </w:rPr>
      </w:pPr>
      <w:r>
        <w:rPr>
          <w:rFonts w:hint="eastAsia" w:ascii="宋体" w:hAnsi="宋体"/>
        </w:rPr>
        <w:t>（3）明显不符合技术规格、质量要求、货物包装方式、检验标准和方法；</w:t>
      </w:r>
    </w:p>
    <w:p>
      <w:pPr>
        <w:spacing w:line="310" w:lineRule="exact"/>
        <w:ind w:firstLine="420" w:firstLineChars="200"/>
        <w:rPr>
          <w:rFonts w:ascii="宋体" w:hAnsi="宋体"/>
        </w:rPr>
      </w:pPr>
      <w:r>
        <w:rPr>
          <w:rFonts w:hint="eastAsia" w:ascii="宋体" w:hAnsi="宋体"/>
        </w:rPr>
        <w:t>（4）不符合招标文件规定的其他实质性要求。</w:t>
      </w:r>
    </w:p>
    <w:p>
      <w:pPr>
        <w:spacing w:line="310" w:lineRule="exact"/>
        <w:ind w:firstLine="422" w:firstLineChars="200"/>
        <w:rPr>
          <w:rFonts w:ascii="宋体" w:hAnsi="宋体"/>
          <w:b/>
        </w:rPr>
      </w:pPr>
      <w:r>
        <w:rPr>
          <w:rFonts w:hint="eastAsia" w:ascii="宋体" w:hAnsi="宋体"/>
          <w:b/>
        </w:rPr>
        <w:t>3.评分标准和权重</w:t>
      </w:r>
    </w:p>
    <w:p>
      <w:pPr>
        <w:spacing w:line="310" w:lineRule="exact"/>
        <w:ind w:firstLine="420" w:firstLineChars="200"/>
        <w:rPr>
          <w:rFonts w:ascii="宋体" w:hAnsi="宋体"/>
        </w:rPr>
      </w:pPr>
      <w:r>
        <w:rPr>
          <w:rFonts w:hint="eastAsia" w:ascii="宋体" w:hAnsi="宋体"/>
        </w:rPr>
        <w:t>按照评标程序的规定和依据评分标准以及各项权重、计算方法，各评委单独对每个投标人进行评审和比较。</w:t>
      </w:r>
    </w:p>
    <w:p>
      <w:pPr>
        <w:spacing w:line="310" w:lineRule="exact"/>
        <w:ind w:firstLine="420" w:firstLineChars="200"/>
        <w:rPr>
          <w:rFonts w:ascii="宋体" w:hAnsi="宋体"/>
        </w:rPr>
      </w:pPr>
      <w:r>
        <w:rPr>
          <w:rFonts w:hint="eastAsia" w:ascii="宋体" w:hAnsi="宋体"/>
          <w:szCs w:val="21"/>
        </w:rPr>
        <w:t>本项目</w:t>
      </w:r>
      <w:r>
        <w:rPr>
          <w:rFonts w:hint="eastAsia" w:ascii="宋体" w:hAnsi="宋体"/>
        </w:rPr>
        <w:t>评标采用综合评价法，各部分权重如下（技术及商务详细评审内容见后附表）：</w:t>
      </w:r>
    </w:p>
    <w:tbl>
      <w:tblPr>
        <w:tblStyle w:val="44"/>
        <w:tblpPr w:leftFromText="180" w:rightFromText="180" w:vertAnchor="text" w:horzAnchor="page" w:tblpX="1593" w:tblpY="53"/>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560"/>
        <w:gridCol w:w="1701"/>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09" w:type="dxa"/>
            <w:noWrap/>
            <w:vAlign w:val="center"/>
          </w:tcPr>
          <w:p>
            <w:pPr>
              <w:keepNext w:val="0"/>
              <w:keepLines w:val="0"/>
              <w:suppressLineNumbers w:val="0"/>
              <w:spacing w:before="0" w:beforeAutospacing="0" w:after="0" w:afterAutospacing="0" w:line="310" w:lineRule="exact"/>
              <w:ind w:left="0" w:right="0"/>
              <w:jc w:val="center"/>
              <w:rPr>
                <w:rFonts w:ascii="宋体" w:hAnsi="宋体" w:cs="Arial"/>
                <w:bCs/>
                <w:szCs w:val="21"/>
              </w:rPr>
            </w:pPr>
            <w:r>
              <w:rPr>
                <w:rFonts w:hint="eastAsia" w:ascii="宋体" w:hAnsi="宋体" w:cs="Arial"/>
                <w:bCs/>
                <w:szCs w:val="21"/>
              </w:rPr>
              <w:t>评估因素</w:t>
            </w:r>
          </w:p>
        </w:tc>
        <w:tc>
          <w:tcPr>
            <w:tcW w:w="1560" w:type="dxa"/>
            <w:noWrap/>
            <w:vAlign w:val="center"/>
          </w:tcPr>
          <w:p>
            <w:pPr>
              <w:keepNext w:val="0"/>
              <w:keepLines w:val="0"/>
              <w:suppressLineNumbers w:val="0"/>
              <w:spacing w:before="0" w:beforeAutospacing="0" w:after="0" w:afterAutospacing="0" w:line="310" w:lineRule="exact"/>
              <w:ind w:left="0" w:right="0"/>
              <w:jc w:val="center"/>
              <w:rPr>
                <w:rFonts w:ascii="宋体" w:hAnsi="宋体" w:cs="Arial"/>
                <w:bCs/>
                <w:szCs w:val="21"/>
              </w:rPr>
            </w:pPr>
            <w:r>
              <w:rPr>
                <w:rFonts w:hint="eastAsia" w:ascii="宋体" w:hAnsi="宋体" w:cs="Arial"/>
                <w:bCs/>
                <w:szCs w:val="21"/>
              </w:rPr>
              <w:t>技术</w:t>
            </w:r>
          </w:p>
        </w:tc>
        <w:tc>
          <w:tcPr>
            <w:tcW w:w="1701" w:type="dxa"/>
            <w:noWrap/>
            <w:vAlign w:val="center"/>
          </w:tcPr>
          <w:p>
            <w:pPr>
              <w:keepNext w:val="0"/>
              <w:keepLines w:val="0"/>
              <w:suppressLineNumbers w:val="0"/>
              <w:spacing w:before="0" w:beforeAutospacing="0" w:after="0" w:afterAutospacing="0" w:line="310" w:lineRule="exact"/>
              <w:ind w:left="0" w:right="0"/>
              <w:jc w:val="center"/>
              <w:rPr>
                <w:rFonts w:ascii="宋体" w:hAnsi="宋体" w:cs="Arial"/>
                <w:bCs/>
                <w:szCs w:val="21"/>
              </w:rPr>
            </w:pPr>
            <w:r>
              <w:rPr>
                <w:rFonts w:hint="eastAsia" w:ascii="宋体" w:hAnsi="宋体"/>
                <w:szCs w:val="22"/>
              </w:rPr>
              <w:t>商务</w:t>
            </w:r>
          </w:p>
        </w:tc>
        <w:tc>
          <w:tcPr>
            <w:tcW w:w="1559" w:type="dxa"/>
            <w:noWrap/>
            <w:vAlign w:val="center"/>
          </w:tcPr>
          <w:p>
            <w:pPr>
              <w:keepNext w:val="0"/>
              <w:keepLines w:val="0"/>
              <w:suppressLineNumbers w:val="0"/>
              <w:spacing w:before="0" w:beforeAutospacing="0" w:after="0" w:afterAutospacing="0" w:line="310" w:lineRule="exact"/>
              <w:ind w:left="0" w:right="0"/>
              <w:jc w:val="center"/>
              <w:rPr>
                <w:rFonts w:ascii="宋体" w:hAnsi="宋体" w:cs="Arial"/>
                <w:bCs/>
                <w:szCs w:val="21"/>
              </w:rPr>
            </w:pPr>
            <w:r>
              <w:rPr>
                <w:rFonts w:hint="eastAsia" w:ascii="宋体" w:hAnsi="宋体" w:cs="Arial"/>
                <w:bCs/>
                <w:szCs w:val="21"/>
              </w:rPr>
              <w:t>价格</w:t>
            </w:r>
          </w:p>
        </w:tc>
        <w:tc>
          <w:tcPr>
            <w:tcW w:w="1559" w:type="dxa"/>
            <w:noWrap/>
            <w:vAlign w:val="center"/>
          </w:tcPr>
          <w:p>
            <w:pPr>
              <w:keepNext w:val="0"/>
              <w:keepLines w:val="0"/>
              <w:suppressLineNumbers w:val="0"/>
              <w:spacing w:before="0" w:beforeAutospacing="0" w:after="0" w:afterAutospacing="0" w:line="310" w:lineRule="exact"/>
              <w:ind w:left="0" w:right="0"/>
              <w:jc w:val="center"/>
              <w:rPr>
                <w:rFonts w:ascii="宋体" w:hAnsi="宋体"/>
                <w:szCs w:val="22"/>
              </w:rPr>
            </w:pPr>
            <w:r>
              <w:rPr>
                <w:rFonts w:hint="eastAsia" w:ascii="宋体" w:hAnsi="宋体"/>
                <w:szCs w:val="2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09" w:type="dxa"/>
            <w:noWrap/>
            <w:vAlign w:val="center"/>
          </w:tcPr>
          <w:p>
            <w:pPr>
              <w:keepNext w:val="0"/>
              <w:keepLines w:val="0"/>
              <w:suppressLineNumbers w:val="0"/>
              <w:spacing w:before="0" w:beforeAutospacing="0" w:after="0" w:afterAutospacing="0" w:line="310" w:lineRule="exact"/>
              <w:ind w:left="0" w:right="0"/>
              <w:jc w:val="center"/>
              <w:rPr>
                <w:rFonts w:ascii="宋体" w:hAnsi="宋体" w:cs="Arial"/>
                <w:bCs/>
                <w:szCs w:val="21"/>
              </w:rPr>
            </w:pPr>
            <w:r>
              <w:rPr>
                <w:rFonts w:hint="eastAsia" w:ascii="宋体" w:hAnsi="宋体" w:cs="Arial"/>
                <w:bCs/>
                <w:szCs w:val="21"/>
              </w:rPr>
              <w:t>评估权重</w:t>
            </w:r>
          </w:p>
        </w:tc>
        <w:tc>
          <w:tcPr>
            <w:tcW w:w="1560" w:type="dxa"/>
            <w:noWrap/>
            <w:vAlign w:val="center"/>
          </w:tcPr>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55</w:t>
            </w:r>
          </w:p>
        </w:tc>
        <w:tc>
          <w:tcPr>
            <w:tcW w:w="1701" w:type="dxa"/>
            <w:noWrap/>
            <w:vAlign w:val="center"/>
          </w:tcPr>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35</w:t>
            </w:r>
          </w:p>
        </w:tc>
        <w:tc>
          <w:tcPr>
            <w:tcW w:w="1559" w:type="dxa"/>
            <w:noWrap/>
            <w:vAlign w:val="center"/>
          </w:tcPr>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10</w:t>
            </w:r>
          </w:p>
        </w:tc>
        <w:tc>
          <w:tcPr>
            <w:tcW w:w="1559" w:type="dxa"/>
            <w:noWrap/>
            <w:vAlign w:val="center"/>
          </w:tcPr>
          <w:p>
            <w:pPr>
              <w:keepNext w:val="0"/>
              <w:keepLines w:val="0"/>
              <w:suppressLineNumbers w:val="0"/>
              <w:spacing w:before="0" w:beforeAutospacing="0" w:after="0" w:afterAutospacing="0" w:line="310" w:lineRule="exact"/>
              <w:ind w:left="0" w:right="0"/>
              <w:jc w:val="center"/>
              <w:rPr>
                <w:rFonts w:ascii="宋体" w:hAnsi="宋体"/>
                <w:szCs w:val="22"/>
              </w:rPr>
            </w:pPr>
            <w:r>
              <w:rPr>
                <w:rFonts w:hint="eastAsia" w:ascii="宋体" w:hAnsi="宋体"/>
                <w:szCs w:val="22"/>
              </w:rPr>
              <w:t>100</w:t>
            </w:r>
          </w:p>
        </w:tc>
      </w:tr>
    </w:tbl>
    <w:p>
      <w:pPr>
        <w:spacing w:line="310" w:lineRule="exact"/>
        <w:rPr>
          <w:rFonts w:ascii="宋体" w:hAnsi="宋体"/>
        </w:rPr>
      </w:pPr>
    </w:p>
    <w:p>
      <w:pPr>
        <w:spacing w:line="310" w:lineRule="exact"/>
        <w:rPr>
          <w:rFonts w:ascii="宋体" w:hAnsi="宋体"/>
        </w:rPr>
      </w:pPr>
    </w:p>
    <w:p>
      <w:pPr>
        <w:spacing w:line="310" w:lineRule="exact"/>
        <w:ind w:firstLine="420" w:firstLineChars="200"/>
        <w:rPr>
          <w:rFonts w:ascii="宋体" w:hAnsi="宋体"/>
        </w:rPr>
      </w:pPr>
    </w:p>
    <w:p>
      <w:pPr>
        <w:spacing w:line="310" w:lineRule="exact"/>
        <w:ind w:firstLine="420" w:firstLineChars="200"/>
        <w:rPr>
          <w:rFonts w:ascii="宋体" w:hAnsi="宋体"/>
        </w:rPr>
      </w:pPr>
      <w:r>
        <w:rPr>
          <w:rFonts w:hint="eastAsia" w:ascii="宋体" w:hAnsi="宋体"/>
        </w:rPr>
        <w:t>3.1技术评审（详见技术评审细则表）</w:t>
      </w:r>
    </w:p>
    <w:p>
      <w:pPr>
        <w:spacing w:line="310" w:lineRule="exact"/>
        <w:ind w:firstLine="420" w:firstLineChars="200"/>
        <w:rPr>
          <w:rFonts w:ascii="宋体" w:hAnsi="宋体"/>
        </w:rPr>
      </w:pPr>
      <w:r>
        <w:rPr>
          <w:rFonts w:hint="eastAsia" w:ascii="宋体" w:hAnsi="宋体"/>
        </w:rPr>
        <w:t>由评委对所有有效投标人的技术状况进行审核和分析，</w:t>
      </w:r>
      <w:r>
        <w:rPr>
          <w:rFonts w:hint="eastAsia" w:ascii="宋体" w:hAnsi="宋体"/>
          <w:sz w:val="22"/>
          <w:szCs w:val="22"/>
        </w:rPr>
        <w:t>并依据评分标准,评出其技术评分</w:t>
      </w:r>
      <w:r>
        <w:rPr>
          <w:rFonts w:hint="eastAsia" w:ascii="宋体" w:hAnsi="宋体"/>
        </w:rPr>
        <w:t>。</w:t>
      </w:r>
      <w:r>
        <w:rPr>
          <w:rFonts w:ascii="宋体" w:hAnsi="宋体"/>
        </w:rPr>
        <w:t>评标时，评标委员会各成员应当独立对每个投标人的投标文件进行评价，并汇总每个投标人的</w:t>
      </w:r>
      <w:r>
        <w:rPr>
          <w:rFonts w:hint="eastAsia" w:ascii="宋体" w:hAnsi="宋体"/>
        </w:rPr>
        <w:t>技术</w:t>
      </w:r>
      <w:r>
        <w:rPr>
          <w:rFonts w:ascii="宋体" w:hAnsi="宋体"/>
        </w:rPr>
        <w:t>得分。</w:t>
      </w:r>
    </w:p>
    <w:p>
      <w:pPr>
        <w:spacing w:line="310" w:lineRule="exact"/>
        <w:ind w:firstLine="420" w:firstLineChars="200"/>
        <w:rPr>
          <w:rFonts w:ascii="宋体" w:hAnsi="宋体"/>
        </w:rPr>
      </w:pPr>
      <w:r>
        <w:rPr>
          <w:rFonts w:hint="eastAsia" w:ascii="宋体" w:hAnsi="宋体"/>
        </w:rPr>
        <w:t>3.2商务评审（详见商务评审细则表）</w:t>
      </w:r>
    </w:p>
    <w:p>
      <w:pPr>
        <w:spacing w:line="310" w:lineRule="exact"/>
        <w:rPr>
          <w:rFonts w:ascii="宋体" w:hAnsi="宋体"/>
        </w:rPr>
      </w:pPr>
      <w:r>
        <w:rPr>
          <w:rFonts w:hint="eastAsia" w:ascii="宋体" w:hAnsi="宋体"/>
        </w:rPr>
        <w:t xml:space="preserve">    由评委对所有有效投标人的商务状况进行审核和评价，</w:t>
      </w:r>
      <w:r>
        <w:rPr>
          <w:rFonts w:hint="eastAsia" w:ascii="宋体" w:hAnsi="宋体"/>
          <w:sz w:val="22"/>
          <w:szCs w:val="22"/>
        </w:rPr>
        <w:t>并依据评分标准,评出其商务评分</w:t>
      </w:r>
      <w:r>
        <w:rPr>
          <w:rFonts w:hint="eastAsia" w:ascii="宋体" w:hAnsi="宋体"/>
        </w:rPr>
        <w:t>。</w:t>
      </w:r>
      <w:r>
        <w:rPr>
          <w:rFonts w:ascii="宋体" w:hAnsi="宋体"/>
        </w:rPr>
        <w:t>评标时，评标委员会各成员应当独立对每个投标人的投标文件进行评价，并汇总每个投标人的</w:t>
      </w:r>
      <w:r>
        <w:rPr>
          <w:rFonts w:hint="eastAsia" w:ascii="宋体" w:hAnsi="宋体"/>
        </w:rPr>
        <w:t>商务</w:t>
      </w:r>
      <w:r>
        <w:rPr>
          <w:rFonts w:ascii="宋体" w:hAnsi="宋体"/>
        </w:rPr>
        <w:t>得分。</w:t>
      </w:r>
    </w:p>
    <w:p>
      <w:pPr>
        <w:spacing w:line="310" w:lineRule="exact"/>
        <w:ind w:firstLine="420" w:firstLineChars="200"/>
        <w:rPr>
          <w:rFonts w:ascii="宋体" w:hAnsi="宋体"/>
        </w:rPr>
      </w:pPr>
      <w:r>
        <w:rPr>
          <w:rFonts w:hint="eastAsia" w:ascii="宋体" w:hAnsi="宋体"/>
        </w:rPr>
        <w:t>3.3价格评审</w:t>
      </w:r>
    </w:p>
    <w:p>
      <w:pPr>
        <w:spacing w:line="310" w:lineRule="exact"/>
        <w:ind w:firstLine="420" w:firstLineChars="200"/>
        <w:rPr>
          <w:rFonts w:ascii="宋体" w:hAnsi="宋体"/>
          <w:szCs w:val="21"/>
        </w:rPr>
      </w:pPr>
      <w:r>
        <w:rPr>
          <w:rFonts w:hint="eastAsia" w:ascii="宋体" w:hAnsi="宋体"/>
          <w:szCs w:val="21"/>
        </w:rPr>
        <w:t>投标人价格得分评分方法如下：</w:t>
      </w:r>
    </w:p>
    <w:p>
      <w:pPr>
        <w:spacing w:line="310" w:lineRule="exact"/>
        <w:rPr>
          <w:rFonts w:ascii="宋体" w:hAnsi="宋体"/>
        </w:rPr>
      </w:pPr>
      <w:r>
        <w:rPr>
          <w:rFonts w:hint="eastAsia" w:ascii="宋体" w:hAnsi="宋体" w:cs="宋体"/>
          <w:kern w:val="0"/>
          <w:szCs w:val="21"/>
        </w:rPr>
        <w:t xml:space="preserve">    1）</w:t>
      </w:r>
      <w:r>
        <w:rPr>
          <w:rFonts w:hint="eastAsia" w:ascii="宋体" w:hAnsi="宋体" w:cs="F14"/>
          <w:kern w:val="0"/>
          <w:szCs w:val="21"/>
        </w:rPr>
        <w:t>价格</w:t>
      </w:r>
      <w:r>
        <w:rPr>
          <w:rFonts w:hint="eastAsia" w:ascii="宋体" w:hAnsi="宋体"/>
        </w:rPr>
        <w:t>核准</w:t>
      </w:r>
      <w:r>
        <w:rPr>
          <w:rFonts w:hint="eastAsia" w:ascii="宋体" w:hAnsi="宋体" w:cs="F14"/>
          <w:kern w:val="0"/>
          <w:szCs w:val="21"/>
        </w:rPr>
        <w:t>：</w:t>
      </w:r>
      <w:r>
        <w:rPr>
          <w:rFonts w:hint="eastAsia" w:ascii="宋体" w:hAnsi="宋体"/>
        </w:rPr>
        <w:t>开标时，投标文件中开标一览表内容与投标文件中</w:t>
      </w:r>
      <w:r>
        <w:rPr>
          <w:rFonts w:hint="eastAsia" w:ascii="宋体" w:hAnsi="宋体"/>
          <w:szCs w:val="21"/>
        </w:rPr>
        <w:t>详细报价单</w:t>
      </w:r>
      <w:r>
        <w:rPr>
          <w:rFonts w:hint="eastAsia" w:ascii="宋体" w:hAnsi="宋体"/>
        </w:rPr>
        <w:t>内容不一致的，以开标一览表为准。投标文件中的大写金额和小写金额不一致的，以大写金额为准；总价金额与按单价汇总的金额不一致的，以单价金额计算结果为准；单价金额小数点有明显错位的，应以总价为准，并修改单价；对不同文字文本投标文件的解释发生异议的，以中文文本为准。</w:t>
      </w:r>
    </w:p>
    <w:p>
      <w:pPr>
        <w:spacing w:line="310" w:lineRule="exact"/>
        <w:ind w:firstLine="420" w:firstLineChars="200"/>
        <w:rPr>
          <w:rFonts w:ascii="宋体" w:hAnsi="宋体" w:cs="F14"/>
          <w:kern w:val="0"/>
          <w:szCs w:val="21"/>
        </w:rPr>
      </w:pPr>
      <w:r>
        <w:rPr>
          <w:rFonts w:ascii="宋体" w:hAnsi="宋体" w:cs="宋体"/>
          <w:kern w:val="0"/>
          <w:szCs w:val="21"/>
        </w:rPr>
        <w:t>2</w:t>
      </w:r>
      <w:r>
        <w:rPr>
          <w:rFonts w:hint="eastAsia" w:ascii="宋体" w:hAnsi="宋体" w:cs="宋体"/>
          <w:kern w:val="0"/>
          <w:szCs w:val="21"/>
        </w:rPr>
        <w:t>）</w:t>
      </w:r>
      <w:r>
        <w:rPr>
          <w:rFonts w:hint="eastAsia" w:ascii="宋体" w:hAnsi="宋体" w:cs="F14"/>
          <w:kern w:val="0"/>
          <w:szCs w:val="21"/>
        </w:rPr>
        <w:t>综合评价法中的价格分统一采用</w:t>
      </w:r>
      <w:r>
        <w:rPr>
          <w:rFonts w:hint="eastAsia" w:ascii="宋体" w:hAnsi="宋体"/>
        </w:rPr>
        <w:t>高价</w:t>
      </w:r>
      <w:r>
        <w:rPr>
          <w:rFonts w:hint="eastAsia" w:ascii="宋体" w:hAnsi="宋体" w:cs="F14"/>
          <w:kern w:val="0"/>
          <w:szCs w:val="21"/>
        </w:rPr>
        <w:t>优先法计算，即满足招标文件要求（通过资格性及符合性审查）投标报价最高的为评标基准价，其价格分为满分。其他</w:t>
      </w:r>
      <w:r>
        <w:rPr>
          <w:rFonts w:hint="eastAsia" w:ascii="宋体" w:hAnsi="宋体"/>
        </w:rPr>
        <w:t>投标人</w:t>
      </w:r>
      <w:r>
        <w:rPr>
          <w:rFonts w:hint="eastAsia" w:ascii="宋体" w:hAnsi="宋体" w:cs="F14"/>
          <w:kern w:val="0"/>
          <w:szCs w:val="21"/>
        </w:rPr>
        <w:t>的价格分统一按照下列公式计算：</w:t>
      </w:r>
    </w:p>
    <w:p>
      <w:pPr>
        <w:spacing w:line="310" w:lineRule="exact"/>
        <w:jc w:val="left"/>
        <w:rPr>
          <w:rFonts w:ascii="宋体" w:hAnsi="宋体" w:cs="F14"/>
          <w:kern w:val="0"/>
          <w:szCs w:val="21"/>
        </w:rPr>
      </w:pPr>
      <w:r>
        <w:rPr>
          <w:rFonts w:hint="eastAsia" w:ascii="宋体" w:hAnsi="宋体" w:cs="F14"/>
          <w:kern w:val="0"/>
          <w:szCs w:val="21"/>
        </w:rPr>
        <w:t>价格得分=(投标报价/评标基准价)×价格权值</w:t>
      </w:r>
    </w:p>
    <w:p>
      <w:pPr>
        <w:spacing w:line="310" w:lineRule="exact"/>
        <w:ind w:firstLine="420" w:firstLineChars="200"/>
        <w:rPr>
          <w:rFonts w:ascii="宋体" w:hAnsi="宋体" w:cs="宋体"/>
          <w:kern w:val="0"/>
          <w:szCs w:val="21"/>
        </w:rPr>
      </w:pPr>
      <w:r>
        <w:rPr>
          <w:rFonts w:hint="eastAsia" w:ascii="宋体" w:hAnsi="宋体" w:cs="宋体"/>
          <w:kern w:val="0"/>
          <w:szCs w:val="21"/>
        </w:rPr>
        <w:t>3）投标报价中不得缺漏招标文件所要求的内容，否则，被视为包含在投标报价中。</w:t>
      </w:r>
    </w:p>
    <w:p>
      <w:pPr>
        <w:spacing w:line="310" w:lineRule="exact"/>
        <w:ind w:firstLine="420" w:firstLineChars="200"/>
        <w:rPr>
          <w:rFonts w:ascii="宋体" w:hAnsi="宋体"/>
          <w:szCs w:val="21"/>
          <w:lang w:val="en-GB"/>
        </w:rPr>
      </w:pPr>
      <w:r>
        <w:rPr>
          <w:rFonts w:hint="eastAsia" w:ascii="宋体" w:hAnsi="宋体"/>
          <w:szCs w:val="21"/>
        </w:rPr>
        <w:t>4）</w:t>
      </w:r>
      <w:r>
        <w:rPr>
          <w:rFonts w:ascii="宋体" w:hAnsi="宋体"/>
          <w:szCs w:val="21"/>
          <w:lang w:val="en-GB"/>
        </w:rPr>
        <w:t>对超出常规、具有特别意义</w:t>
      </w:r>
      <w:r>
        <w:rPr>
          <w:rFonts w:hint="eastAsia" w:ascii="宋体" w:hAnsi="宋体"/>
          <w:szCs w:val="21"/>
          <w:lang w:val="en-GB"/>
        </w:rPr>
        <w:t>、</w:t>
      </w:r>
      <w:r>
        <w:rPr>
          <w:rFonts w:ascii="宋体" w:hAnsi="宋体"/>
          <w:szCs w:val="21"/>
          <w:lang w:val="en-GB"/>
        </w:rPr>
        <w:t>会引起竞争非议的报价</w:t>
      </w:r>
      <w:r>
        <w:rPr>
          <w:rFonts w:hint="eastAsia" w:ascii="宋体" w:hAnsi="宋体"/>
          <w:szCs w:val="21"/>
          <w:lang w:val="en-GB"/>
        </w:rPr>
        <w:t>投标人</w:t>
      </w:r>
      <w:r>
        <w:rPr>
          <w:rFonts w:ascii="宋体" w:hAnsi="宋体"/>
          <w:szCs w:val="21"/>
          <w:lang w:val="en-GB"/>
        </w:rPr>
        <w:t>须作出特别说明。</w:t>
      </w:r>
    </w:p>
    <w:p>
      <w:pPr>
        <w:spacing w:line="310" w:lineRule="exact"/>
        <w:ind w:firstLine="422" w:firstLineChars="200"/>
        <w:rPr>
          <w:rFonts w:ascii="宋体" w:hAnsi="宋体"/>
          <w:b/>
        </w:rPr>
      </w:pPr>
      <w:r>
        <w:rPr>
          <w:rFonts w:hint="eastAsia" w:ascii="宋体" w:hAnsi="宋体"/>
          <w:b/>
        </w:rPr>
        <w:t>4.综合得分的计算</w:t>
      </w:r>
    </w:p>
    <w:p>
      <w:pPr>
        <w:tabs>
          <w:tab w:val="left" w:pos="510"/>
          <w:tab w:val="left" w:pos="540"/>
        </w:tabs>
        <w:spacing w:line="310" w:lineRule="exact"/>
        <w:ind w:firstLine="420" w:firstLineChars="200"/>
        <w:rPr>
          <w:rFonts w:ascii="宋体" w:hAnsi="宋体"/>
          <w:szCs w:val="21"/>
        </w:rPr>
      </w:pPr>
      <w:r>
        <w:rPr>
          <w:rFonts w:hint="eastAsia" w:ascii="宋体" w:hAnsi="宋体"/>
          <w:szCs w:val="21"/>
        </w:rPr>
        <w:t>4.1综合评分=技术得分+商务得分+价格得分。</w:t>
      </w:r>
    </w:p>
    <w:p>
      <w:pPr>
        <w:tabs>
          <w:tab w:val="left" w:pos="510"/>
          <w:tab w:val="left" w:pos="540"/>
        </w:tabs>
        <w:spacing w:line="310" w:lineRule="exact"/>
        <w:ind w:firstLine="420" w:firstLineChars="200"/>
        <w:rPr>
          <w:rFonts w:ascii="宋体" w:hAnsi="宋体"/>
          <w:szCs w:val="21"/>
        </w:rPr>
      </w:pPr>
      <w:r>
        <w:rPr>
          <w:rFonts w:hint="eastAsia" w:ascii="宋体" w:hAnsi="宋体"/>
          <w:szCs w:val="21"/>
        </w:rPr>
        <w:t>4.2各项得分按四舍五入原则精确到小数点后两位。将综合评分由高到低顺序排列。综合评分相同的，按投标报价由高到低顺序排列；综合评分相同，且投标报价相同的，按技术评分由高到低顺序排列。综合评分相同，且投标报价和技术评分均相同的，名次由评委会投票决定。</w:t>
      </w:r>
    </w:p>
    <w:p>
      <w:pPr>
        <w:tabs>
          <w:tab w:val="left" w:pos="510"/>
          <w:tab w:val="left" w:pos="540"/>
        </w:tabs>
        <w:spacing w:line="310" w:lineRule="exact"/>
        <w:ind w:firstLine="420" w:firstLineChars="200"/>
        <w:rPr>
          <w:rFonts w:ascii="宋体" w:hAnsi="宋体"/>
          <w:szCs w:val="21"/>
        </w:rPr>
      </w:pPr>
      <w:r>
        <w:rPr>
          <w:rFonts w:hint="eastAsia" w:ascii="宋体" w:hAnsi="宋体"/>
          <w:szCs w:val="21"/>
        </w:rPr>
        <w:t>4.3评标委员会按排序先后，在招标文件有效的投标人中，向招标人推荐前3名投标人依次为第一中标候选人至第三中标候选人，并编写评标报告。</w:t>
      </w:r>
    </w:p>
    <w:p>
      <w:pPr>
        <w:tabs>
          <w:tab w:val="left" w:pos="510"/>
          <w:tab w:val="left" w:pos="540"/>
        </w:tabs>
        <w:spacing w:line="310" w:lineRule="exact"/>
        <w:ind w:firstLine="420" w:firstLineChars="200"/>
        <w:rPr>
          <w:rFonts w:ascii="宋体" w:hAnsi="宋体"/>
          <w:szCs w:val="21"/>
        </w:rPr>
      </w:pPr>
      <w:r>
        <w:rPr>
          <w:rFonts w:hint="eastAsia" w:ascii="宋体" w:hAnsi="宋体"/>
          <w:szCs w:val="21"/>
        </w:rPr>
        <w:t>4.4通过资格审查或通过有效性审查的投标人不足三家，应当依法重新招标。</w:t>
      </w:r>
    </w:p>
    <w:p>
      <w:pPr>
        <w:spacing w:line="310" w:lineRule="exact"/>
        <w:ind w:firstLine="310" w:firstLineChars="147"/>
        <w:rPr>
          <w:rFonts w:ascii="宋体" w:hAnsi="宋体"/>
          <w:b/>
          <w:szCs w:val="21"/>
          <w:lang w:val="zh-CN"/>
        </w:rPr>
      </w:pPr>
      <w:r>
        <w:rPr>
          <w:rFonts w:hint="eastAsia" w:ascii="宋体" w:hAnsi="宋体"/>
          <w:b/>
          <w:szCs w:val="21"/>
        </w:rPr>
        <w:t>七、中标通知</w:t>
      </w:r>
    </w:p>
    <w:p>
      <w:pPr>
        <w:tabs>
          <w:tab w:val="left" w:pos="510"/>
          <w:tab w:val="left" w:pos="540"/>
        </w:tabs>
        <w:spacing w:line="310" w:lineRule="exact"/>
        <w:ind w:firstLine="420" w:firstLineChars="200"/>
        <w:rPr>
          <w:rFonts w:ascii="宋体" w:hAnsi="宋体"/>
          <w:szCs w:val="21"/>
          <w:lang w:val="en-GB"/>
        </w:rPr>
      </w:pPr>
      <w:r>
        <w:rPr>
          <w:rFonts w:hint="eastAsia" w:ascii="宋体" w:hAnsi="宋体"/>
          <w:szCs w:val="21"/>
        </w:rPr>
        <w:t>1.</w:t>
      </w:r>
      <w:r>
        <w:rPr>
          <w:rFonts w:hint="eastAsia" w:ascii="宋体" w:hAnsi="宋体"/>
          <w:szCs w:val="21"/>
          <w:lang w:val="en-GB"/>
        </w:rPr>
        <w:t>中标结果将在指定媒体上</w:t>
      </w:r>
      <w:r>
        <w:rPr>
          <w:rFonts w:hint="eastAsia" w:ascii="宋体" w:hAnsi="宋体"/>
          <w:szCs w:val="21"/>
        </w:rPr>
        <w:t>公</w:t>
      </w:r>
      <w:r>
        <w:rPr>
          <w:rFonts w:hint="eastAsia" w:ascii="宋体" w:hAnsi="宋体"/>
          <w:szCs w:val="21"/>
          <w:lang w:val="en-GB"/>
        </w:rPr>
        <w:t>示、公告，</w:t>
      </w:r>
      <w:r>
        <w:rPr>
          <w:rFonts w:hint="eastAsia" w:ascii="宋体" w:hAnsi="宋体"/>
          <w:szCs w:val="21"/>
        </w:rPr>
        <w:t>招标代理机构</w:t>
      </w:r>
      <w:r>
        <w:rPr>
          <w:rFonts w:hint="eastAsia" w:ascii="宋体" w:hAnsi="宋体"/>
          <w:szCs w:val="21"/>
          <w:lang w:val="zh-CN"/>
        </w:rPr>
        <w:t>以书面函件形式</w:t>
      </w:r>
      <w:r>
        <w:rPr>
          <w:rFonts w:hint="eastAsia" w:ascii="宋体" w:hAnsi="宋体"/>
          <w:szCs w:val="21"/>
        </w:rPr>
        <w:t>向中标人</w:t>
      </w:r>
      <w:r>
        <w:rPr>
          <w:rFonts w:hint="eastAsia" w:ascii="宋体" w:hAnsi="宋体"/>
          <w:szCs w:val="21"/>
          <w:lang w:val="en-GB"/>
        </w:rPr>
        <w:t>发出《中标通知书》</w:t>
      </w:r>
      <w:r>
        <w:rPr>
          <w:rFonts w:hint="eastAsia" w:ascii="宋体" w:hAnsi="宋体"/>
          <w:szCs w:val="21"/>
          <w:lang w:val="zh-CN"/>
        </w:rPr>
        <w:t>。</w:t>
      </w:r>
      <w:r>
        <w:rPr>
          <w:rFonts w:hint="eastAsia" w:ascii="宋体" w:hAnsi="宋体"/>
          <w:szCs w:val="21"/>
          <w:lang w:val="en-GB"/>
        </w:rPr>
        <w:t>不在中标名单之列者即默认为落标，招标人、招标代理机构及评审委员会对中标与落标原因不作任何解释。</w:t>
      </w:r>
    </w:p>
    <w:p>
      <w:pPr>
        <w:spacing w:line="310" w:lineRule="exact"/>
        <w:ind w:firstLine="420" w:firstLineChars="200"/>
        <w:rPr>
          <w:rFonts w:ascii="宋体" w:hAnsi="宋体"/>
          <w:szCs w:val="21"/>
          <w:u w:val="single"/>
          <w:lang w:val="zh-CN"/>
        </w:rPr>
      </w:pPr>
      <w:r>
        <w:rPr>
          <w:rFonts w:hint="eastAsia" w:ascii="宋体" w:hAnsi="宋体"/>
          <w:szCs w:val="21"/>
        </w:rPr>
        <w:t>2.中标通知书</w:t>
      </w:r>
      <w:r>
        <w:rPr>
          <w:rFonts w:hint="eastAsia" w:ascii="宋体" w:hAnsi="宋体"/>
          <w:szCs w:val="21"/>
          <w:lang w:val="zh-CN"/>
        </w:rPr>
        <w:t>是合同的一个组成部分。</w:t>
      </w:r>
    </w:p>
    <w:p>
      <w:pPr>
        <w:spacing w:line="310" w:lineRule="exact"/>
        <w:ind w:firstLine="413" w:firstLineChars="196"/>
        <w:rPr>
          <w:rFonts w:ascii="宋体" w:hAnsi="宋体"/>
          <w:b/>
          <w:szCs w:val="21"/>
        </w:rPr>
      </w:pPr>
      <w:r>
        <w:rPr>
          <w:rFonts w:hint="eastAsia" w:ascii="宋体" w:hAnsi="宋体"/>
          <w:b/>
          <w:szCs w:val="21"/>
        </w:rPr>
        <w:t>八、相关费用</w:t>
      </w:r>
    </w:p>
    <w:p>
      <w:pPr>
        <w:tabs>
          <w:tab w:val="left" w:pos="735"/>
          <w:tab w:val="left" w:pos="1254"/>
        </w:tabs>
        <w:spacing w:line="320" w:lineRule="exact"/>
        <w:ind w:firstLine="420" w:firstLineChars="200"/>
        <w:rPr>
          <w:rFonts w:ascii="宋体" w:hAnsi="宋体"/>
          <w:szCs w:val="21"/>
        </w:rPr>
      </w:pPr>
      <w:r>
        <w:rPr>
          <w:rFonts w:hint="eastAsia" w:ascii="宋体" w:hAnsi="宋体"/>
          <w:szCs w:val="21"/>
        </w:rPr>
        <w:t>（一）中标（成交）人需向采购代理机构缴纳代理服务费（不含增值税）和评审费。</w:t>
      </w:r>
    </w:p>
    <w:p>
      <w:pPr>
        <w:tabs>
          <w:tab w:val="left" w:pos="735"/>
          <w:tab w:val="left" w:pos="1254"/>
        </w:tabs>
        <w:spacing w:line="320" w:lineRule="exact"/>
        <w:ind w:firstLine="420" w:firstLineChars="200"/>
        <w:rPr>
          <w:rFonts w:ascii="宋体" w:hAnsi="宋体"/>
          <w:szCs w:val="21"/>
        </w:rPr>
      </w:pPr>
      <w:r>
        <w:rPr>
          <w:rFonts w:hint="eastAsia" w:ascii="宋体" w:hAnsi="宋体"/>
          <w:szCs w:val="21"/>
        </w:rPr>
        <w:t>1.中标（成交）人须向采购代理机构交纳代理服务费。本项目中标（成交）人应缴纳的代理服务费的收费标准: 代理服务费采用差额定率累进法进行计算，本项目以投入金额为缴费的计算基数，按照以下标准计取：</w:t>
      </w:r>
    </w:p>
    <w:tbl>
      <w:tblPr>
        <w:tblStyle w:val="44"/>
        <w:tblW w:w="7938" w:type="dxa"/>
        <w:tblInd w:w="9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93"/>
        <w:gridCol w:w="1748"/>
        <w:gridCol w:w="1748"/>
        <w:gridCol w:w="1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4" w:hRule="atLeast"/>
        </w:trPr>
        <w:tc>
          <w:tcPr>
            <w:tcW w:w="2693" w:type="dxa"/>
          </w:tcPr>
          <w:p>
            <w:pPr>
              <w:keepNext w:val="0"/>
              <w:keepLines w:val="0"/>
              <w:suppressLineNumbers w:val="0"/>
              <w:tabs>
                <w:tab w:val="left" w:pos="735"/>
                <w:tab w:val="left" w:pos="1254"/>
              </w:tabs>
              <w:spacing w:before="0" w:beforeAutospacing="0" w:after="0" w:afterAutospacing="0" w:line="320" w:lineRule="exact"/>
              <w:ind w:left="0" w:right="0" w:firstLine="1680" w:firstLineChars="200"/>
              <w:rPr>
                <w:rFonts w:ascii="宋体" w:hAnsi="宋体"/>
                <w:szCs w:val="21"/>
              </w:rPr>
            </w:pPr>
            <w:r>
              <w:rPr>
                <w:rFonts w:ascii="宋体" w:hAnsi="宋体"/>
                <w:sz w:val="84"/>
                <w:szCs w:val="84"/>
              </w:rPr>
              <w:pict>
                <v:shape id="_x0000_s5136" o:spid="_x0000_s5136" o:spt="202" type="#_x0000_t202" style="position:absolute;left:0pt;margin-left:-157.5pt;margin-top:-331.85pt;height:50pt;width:50pt;z-index:251666432;mso-width-relative:page;mso-height-relative:page;" coordsize="21600,21600">
                  <v:path/>
                  <v:fill focussize="0,0"/>
                  <v:stroke joinstyle="miter"/>
                  <v:imagedata o:title=""/>
                  <o:lock v:ext="edit"/>
                </v:shape>
              </w:pict>
            </w:r>
            <w:r>
              <w:rPr>
                <w:rFonts w:ascii="宋体" w:hAnsi="宋体"/>
                <w:szCs w:val="21"/>
              </w:rPr>
              <w:pict>
                <v:shape id="__TH_B1216" o:spid="_x0000_s5132" o:spt="202" type="#_x0000_t202" style="position:absolute;left:0pt;margin-left:107.4pt;margin-top:26.25pt;height:13.15pt;width:12.6pt;z-index:251659264;mso-width-relative:page;mso-height-relative:page;" fillcolor="#BBD5F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">
                  <v:path/>
                  <v:fill type="gradient" on="f" color2="#9CBEE0" focus="100%" focussize="0f,0f"/>
                  <v:stroke on="f" joinstyle="miter"/>
                  <v:imagedata o:title=""/>
                  <o:lock v:ext="edit"/>
                  <v:textbox inset="0mm,0mm,0mm,0mm">
                    <w:txbxContent>
                      <w:p>
                        <w:pPr>
                          <w:snapToGrid w:val="0"/>
                        </w:pPr>
                        <w:r>
                          <w:rPr>
                            <w:rFonts w:hint="eastAsia"/>
                          </w:rPr>
                          <w:t>型</w:t>
                        </w:r>
                      </w:p>
                    </w:txbxContent>
                  </v:textbox>
                </v:shape>
              </w:pict>
            </w:r>
            <w:r>
              <w:rPr>
                <w:rFonts w:ascii="宋体" w:hAnsi="宋体"/>
                <w:szCs w:val="21"/>
              </w:rPr>
              <w:pict>
                <v:line id="__TH_L14" o:spid="_x0000_s5130" o:spt="20" style="position:absolute;left:0pt;margin-left:-5.2pt;margin-top:26.25pt;height:34.9pt;width:132.7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">
                  <v:path arrowok="t"/>
                  <v:fill focussize="0,0"/>
                  <v:stroke weight="0.5pt"/>
                  <v:imagedata o:title=""/>
                  <o:lock v:ext="edit"/>
                </v:line>
              </w:pict>
            </w:r>
            <w:r>
              <w:rPr>
                <w:rFonts w:ascii="宋体" w:hAnsi="宋体"/>
                <w:szCs w:val="21"/>
              </w:rPr>
              <w:pict>
                <v:shape id="__TH_B3119" o:spid="_x0000_s5135" o:spt="202" type="#_x0000_t202" style="position:absolute;left:0pt;margin-left:-1.5pt;margin-top:46.9pt;height:14.15pt;width:73.4pt;z-index:251661312;mso-width-relative:page;mso-height-relative:page;" fillcolor="#BBD5F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">
                  <v:path/>
                  <v:fill type="gradient" on="f" color2="#9CBEE0" focus="100%" focussize="0f,0f"/>
                  <v:stroke on="f" joinstyle="miter"/>
                  <v:imagedata o:title=""/>
                  <o:lock v:ext="edit"/>
                  <v:textbox inset="0mm,0mm,0mm,0mm">
                    <w:txbxContent>
                      <w:p>
                        <w:pPr>
                          <w:snapToGrid w:val="0"/>
                        </w:pPr>
                        <w:r>
                          <w:rPr>
                            <w:rFonts w:hint="eastAsia"/>
                          </w:rPr>
                          <w:t>金额(万元)</w:t>
                        </w:r>
                      </w:p>
                    </w:txbxContent>
                  </v:textbox>
                </v:shape>
              </w:pict>
            </w:r>
            <w:r>
              <w:rPr>
                <w:rFonts w:ascii="宋体" w:hAnsi="宋体"/>
                <w:szCs w:val="21"/>
              </w:rPr>
              <w:pict>
                <v:shape id="__TH_B2218" o:spid="_x0000_s5134" o:spt="202" type="#_x0000_t202" style="position:absolute;left:0pt;margin-left:61.75pt;margin-top:28.85pt;height:13.15pt;width:12.6pt;z-index:251662336;mso-width-relative:page;mso-height-relative:page;" fillcolor="#BBD5F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">
                  <v:path/>
                  <v:fill type="gradient" on="f" color2="#9CBEE0" focus="100%" focussize="0f,0f"/>
                  <v:stroke on="f" joinstyle="miter"/>
                  <v:imagedata o:title=""/>
                  <o:lock v:ext="edit"/>
                  <v:textbox inset="0mm,0mm,0mm,0mm">
                    <w:txbxContent>
                      <w:p>
                        <w:pPr>
                          <w:snapToGrid w:val="0"/>
                        </w:pPr>
                        <w:r>
                          <w:rPr>
                            <w:rFonts w:hint="eastAsia"/>
                          </w:rPr>
                          <w:t>率</w:t>
                        </w:r>
                      </w:p>
                    </w:txbxContent>
                  </v:textbox>
                </v:shape>
              </w:pict>
            </w:r>
            <w:r>
              <w:rPr>
                <w:rFonts w:ascii="宋体" w:hAnsi="宋体"/>
                <w:szCs w:val="21"/>
              </w:rPr>
              <w:pict>
                <v:line id="__TH_L13" o:spid="_x0000_s5129" o:spt="20" style="position:absolute;left:0pt;margin-left:50.7pt;margin-top:0pt;height:61.15pt;width:76.8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">
                  <v:path arrowok="t"/>
                  <v:fill focussize="0,0"/>
                  <v:stroke weight="0.5pt"/>
                  <v:imagedata o:title=""/>
                  <o:lock v:ext="edit"/>
                </v:line>
              </w:pict>
            </w:r>
            <w:r>
              <w:rPr>
                <w:rFonts w:ascii="宋体" w:hAnsi="宋体"/>
                <w:szCs w:val="21"/>
              </w:rPr>
              <w:pict>
                <v:shape id="__TH_B1115" o:spid="_x0000_s5131" o:spt="202" type="#_x0000_t202" style="position:absolute;left:0pt;margin-left:96.25pt;margin-top:4.75pt;height:13.1pt;width:12.6pt;z-index:251664384;mso-width-relative:page;mso-height-relative:page;" fillcolor="#BBD5F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">
                  <v:path/>
                  <v:fill type="gradient" on="f" color2="#9CBEE0" focus="100%" focussize="0f,0f"/>
                  <v:stroke on="f" joinstyle="miter"/>
                  <v:imagedata o:title=""/>
                  <o:lock v:ext="edit"/>
                  <v:textbox inset="0mm,0mm,0mm,0mm">
                    <w:txbxContent>
                      <w:p>
                        <w:pPr>
                          <w:snapToGrid w:val="0"/>
                        </w:pPr>
                        <w:r>
                          <w:rPr>
                            <w:rFonts w:hint="eastAsia"/>
                          </w:rPr>
                          <w:t>类</w:t>
                        </w:r>
                      </w:p>
                    </w:txbxContent>
                  </v:textbox>
                </v:shape>
              </w:pict>
            </w:r>
            <w:r>
              <w:rPr>
                <w:rFonts w:ascii="宋体" w:hAnsi="宋体"/>
                <w:szCs w:val="21"/>
              </w:rPr>
              <w:pict>
                <v:shape id="__TH_B2117" o:spid="_x0000_s5133" o:spt="202" type="#_x0000_t202" style="position:absolute;left:0pt;margin-left:38.1pt;margin-top:13.15pt;height:13.1pt;width:12.6pt;z-index:251665408;mso-width-relative:page;mso-height-relative:page;" fillcolor="#BBD5F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">
                  <v:path/>
                  <v:fill type="gradient" on="f" color2="#9CBEE0" focus="100%" focussize="0f,0f"/>
                  <v:stroke on="f" joinstyle="miter"/>
                  <v:imagedata o:title=""/>
                  <o:lock v:ext="edit"/>
                  <v:textbox inset="0mm,0mm,0mm,0mm">
                    <w:txbxContent>
                      <w:p>
                        <w:pPr>
                          <w:snapToGrid w:val="0"/>
                        </w:pPr>
                        <w:r>
                          <w:rPr>
                            <w:rFonts w:hint="eastAsia"/>
                          </w:rPr>
                          <w:t>费</w:t>
                        </w:r>
                      </w:p>
                    </w:txbxContent>
                  </v:textbox>
                </v:shape>
              </w:pict>
            </w:r>
          </w:p>
        </w:tc>
        <w:tc>
          <w:tcPr>
            <w:tcW w:w="1748" w:type="dxa"/>
            <w:vAlign w:val="center"/>
          </w:tcPr>
          <w:p>
            <w:pPr>
              <w:keepNext w:val="0"/>
              <w:keepLines w:val="0"/>
              <w:suppressLineNumbers w:val="0"/>
              <w:tabs>
                <w:tab w:val="left" w:pos="735"/>
                <w:tab w:val="left" w:pos="1254"/>
              </w:tabs>
              <w:spacing w:before="0" w:beforeAutospacing="0" w:after="0" w:afterAutospacing="0" w:line="320" w:lineRule="exact"/>
              <w:ind w:left="0" w:right="0" w:firstLine="420" w:firstLineChars="200"/>
              <w:rPr>
                <w:rFonts w:ascii="宋体" w:hAnsi="宋体"/>
                <w:szCs w:val="21"/>
              </w:rPr>
            </w:pPr>
            <w:r>
              <w:rPr>
                <w:rFonts w:hint="eastAsia" w:ascii="宋体" w:hAnsi="宋体"/>
                <w:szCs w:val="21"/>
              </w:rPr>
              <w:t>货物标</w:t>
            </w:r>
          </w:p>
        </w:tc>
        <w:tc>
          <w:tcPr>
            <w:tcW w:w="1748" w:type="dxa"/>
            <w:vAlign w:val="center"/>
          </w:tcPr>
          <w:p>
            <w:pPr>
              <w:keepNext w:val="0"/>
              <w:keepLines w:val="0"/>
              <w:suppressLineNumbers w:val="0"/>
              <w:tabs>
                <w:tab w:val="left" w:pos="735"/>
                <w:tab w:val="left" w:pos="1254"/>
              </w:tabs>
              <w:spacing w:before="0" w:beforeAutospacing="0" w:after="0" w:afterAutospacing="0" w:line="320" w:lineRule="exact"/>
              <w:ind w:left="0" w:right="0" w:firstLine="420" w:firstLineChars="200"/>
              <w:rPr>
                <w:rFonts w:ascii="宋体" w:hAnsi="宋体"/>
                <w:szCs w:val="21"/>
              </w:rPr>
            </w:pPr>
            <w:r>
              <w:rPr>
                <w:rFonts w:hint="eastAsia" w:ascii="宋体" w:hAnsi="宋体"/>
                <w:szCs w:val="21"/>
              </w:rPr>
              <w:t>服务标</w:t>
            </w:r>
          </w:p>
        </w:tc>
        <w:tc>
          <w:tcPr>
            <w:tcW w:w="1749" w:type="dxa"/>
            <w:vAlign w:val="center"/>
          </w:tcPr>
          <w:p>
            <w:pPr>
              <w:keepNext w:val="0"/>
              <w:keepLines w:val="0"/>
              <w:suppressLineNumbers w:val="0"/>
              <w:tabs>
                <w:tab w:val="left" w:pos="735"/>
                <w:tab w:val="left" w:pos="1254"/>
              </w:tabs>
              <w:spacing w:before="0" w:beforeAutospacing="0" w:after="0" w:afterAutospacing="0" w:line="320" w:lineRule="exact"/>
              <w:ind w:left="0" w:right="0" w:firstLine="420" w:firstLineChars="200"/>
              <w:rPr>
                <w:rFonts w:ascii="宋体" w:hAnsi="宋体"/>
                <w:szCs w:val="21"/>
              </w:rPr>
            </w:pPr>
            <w:r>
              <w:rPr>
                <w:rFonts w:hint="eastAsia" w:ascii="宋体" w:hAnsi="宋体"/>
                <w:szCs w:val="21"/>
              </w:rPr>
              <w:t>工程标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2693" w:type="dxa"/>
            <w:vAlign w:val="center"/>
          </w:tcPr>
          <w:p>
            <w:pPr>
              <w:keepNext w:val="0"/>
              <w:keepLines w:val="0"/>
              <w:suppressLineNumbers w:val="0"/>
              <w:tabs>
                <w:tab w:val="left" w:pos="735"/>
                <w:tab w:val="left" w:pos="1254"/>
              </w:tabs>
              <w:spacing w:before="0" w:beforeAutospacing="0" w:after="0" w:afterAutospacing="0" w:line="320" w:lineRule="exact"/>
              <w:ind w:left="0" w:right="0" w:firstLine="420" w:firstLineChars="200"/>
              <w:rPr>
                <w:rFonts w:ascii="宋体" w:hAnsi="宋体"/>
                <w:szCs w:val="21"/>
              </w:rPr>
            </w:pPr>
            <w:r>
              <w:rPr>
                <w:rFonts w:hint="eastAsia" w:ascii="宋体" w:hAnsi="宋体"/>
                <w:szCs w:val="21"/>
              </w:rPr>
              <w:t>100以下</w:t>
            </w:r>
          </w:p>
        </w:tc>
        <w:tc>
          <w:tcPr>
            <w:tcW w:w="1748" w:type="dxa"/>
            <w:vAlign w:val="center"/>
          </w:tcPr>
          <w:p>
            <w:pPr>
              <w:keepNext w:val="0"/>
              <w:keepLines w:val="0"/>
              <w:suppressLineNumbers w:val="0"/>
              <w:tabs>
                <w:tab w:val="left" w:pos="735"/>
                <w:tab w:val="left" w:pos="1254"/>
              </w:tabs>
              <w:spacing w:before="0" w:beforeAutospacing="0" w:after="0" w:afterAutospacing="0" w:line="320" w:lineRule="exact"/>
              <w:ind w:left="0" w:right="0" w:firstLine="420" w:firstLineChars="200"/>
              <w:rPr>
                <w:rFonts w:ascii="宋体" w:hAnsi="宋体"/>
                <w:szCs w:val="21"/>
              </w:rPr>
            </w:pPr>
            <w:r>
              <w:rPr>
                <w:rFonts w:hint="eastAsia" w:ascii="宋体" w:hAnsi="宋体"/>
                <w:szCs w:val="21"/>
              </w:rPr>
              <w:t>1.5％</w:t>
            </w:r>
          </w:p>
        </w:tc>
        <w:tc>
          <w:tcPr>
            <w:tcW w:w="1748" w:type="dxa"/>
            <w:vAlign w:val="center"/>
          </w:tcPr>
          <w:p>
            <w:pPr>
              <w:keepNext w:val="0"/>
              <w:keepLines w:val="0"/>
              <w:suppressLineNumbers w:val="0"/>
              <w:tabs>
                <w:tab w:val="left" w:pos="735"/>
                <w:tab w:val="left" w:pos="1254"/>
              </w:tabs>
              <w:spacing w:before="0" w:beforeAutospacing="0" w:after="0" w:afterAutospacing="0" w:line="320" w:lineRule="exact"/>
              <w:ind w:left="0" w:right="0" w:firstLine="420" w:firstLineChars="200"/>
              <w:rPr>
                <w:rFonts w:ascii="宋体" w:hAnsi="宋体"/>
                <w:szCs w:val="21"/>
              </w:rPr>
            </w:pPr>
            <w:r>
              <w:rPr>
                <w:rFonts w:hint="eastAsia" w:ascii="宋体" w:hAnsi="宋体"/>
                <w:szCs w:val="21"/>
              </w:rPr>
              <w:t>1.5％</w:t>
            </w:r>
          </w:p>
        </w:tc>
        <w:tc>
          <w:tcPr>
            <w:tcW w:w="1749" w:type="dxa"/>
            <w:vAlign w:val="center"/>
          </w:tcPr>
          <w:p>
            <w:pPr>
              <w:keepNext w:val="0"/>
              <w:keepLines w:val="0"/>
              <w:suppressLineNumbers w:val="0"/>
              <w:tabs>
                <w:tab w:val="left" w:pos="735"/>
                <w:tab w:val="left" w:pos="1254"/>
              </w:tabs>
              <w:spacing w:before="0" w:beforeAutospacing="0" w:after="0" w:afterAutospacing="0" w:line="320" w:lineRule="exact"/>
              <w:ind w:left="0" w:right="0" w:firstLine="420" w:firstLineChars="200"/>
              <w:rPr>
                <w:rFonts w:ascii="宋体" w:hAnsi="宋体"/>
                <w:szCs w:val="21"/>
              </w:rPr>
            </w:pPr>
            <w:r>
              <w:rPr>
                <w:rFonts w:hint="eastAsia" w:ascii="宋体" w:hAnsi="宋体"/>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2693" w:type="dxa"/>
            <w:vAlign w:val="center"/>
          </w:tcPr>
          <w:p>
            <w:pPr>
              <w:keepNext w:val="0"/>
              <w:keepLines w:val="0"/>
              <w:suppressLineNumbers w:val="0"/>
              <w:tabs>
                <w:tab w:val="left" w:pos="735"/>
                <w:tab w:val="left" w:pos="1254"/>
              </w:tabs>
              <w:spacing w:before="0" w:beforeAutospacing="0" w:after="0" w:afterAutospacing="0" w:line="320" w:lineRule="exact"/>
              <w:ind w:left="0" w:right="0" w:firstLine="420" w:firstLineChars="200"/>
              <w:rPr>
                <w:rFonts w:ascii="宋体" w:hAnsi="宋体"/>
                <w:szCs w:val="21"/>
              </w:rPr>
            </w:pPr>
            <w:r>
              <w:rPr>
                <w:rFonts w:hint="eastAsia" w:ascii="宋体" w:hAnsi="宋体"/>
                <w:szCs w:val="21"/>
              </w:rPr>
              <w:t>100-500</w:t>
            </w:r>
          </w:p>
        </w:tc>
        <w:tc>
          <w:tcPr>
            <w:tcW w:w="1748" w:type="dxa"/>
            <w:vAlign w:val="center"/>
          </w:tcPr>
          <w:p>
            <w:pPr>
              <w:keepNext w:val="0"/>
              <w:keepLines w:val="0"/>
              <w:suppressLineNumbers w:val="0"/>
              <w:tabs>
                <w:tab w:val="left" w:pos="735"/>
                <w:tab w:val="left" w:pos="1254"/>
              </w:tabs>
              <w:spacing w:before="0" w:beforeAutospacing="0" w:after="0" w:afterAutospacing="0" w:line="320" w:lineRule="exact"/>
              <w:ind w:left="0" w:right="0" w:firstLine="420" w:firstLineChars="200"/>
              <w:rPr>
                <w:rFonts w:ascii="宋体" w:hAnsi="宋体"/>
                <w:szCs w:val="21"/>
              </w:rPr>
            </w:pPr>
            <w:r>
              <w:rPr>
                <w:rFonts w:hint="eastAsia" w:ascii="宋体" w:hAnsi="宋体"/>
                <w:szCs w:val="21"/>
              </w:rPr>
              <w:t>1.1％</w:t>
            </w:r>
          </w:p>
        </w:tc>
        <w:tc>
          <w:tcPr>
            <w:tcW w:w="1748" w:type="dxa"/>
            <w:vAlign w:val="center"/>
          </w:tcPr>
          <w:p>
            <w:pPr>
              <w:keepNext w:val="0"/>
              <w:keepLines w:val="0"/>
              <w:suppressLineNumbers w:val="0"/>
              <w:tabs>
                <w:tab w:val="left" w:pos="735"/>
                <w:tab w:val="left" w:pos="1254"/>
              </w:tabs>
              <w:spacing w:before="0" w:beforeAutospacing="0" w:after="0" w:afterAutospacing="0" w:line="320" w:lineRule="exact"/>
              <w:ind w:left="0" w:right="0" w:firstLine="420" w:firstLineChars="200"/>
              <w:rPr>
                <w:rFonts w:ascii="宋体" w:hAnsi="宋体"/>
                <w:szCs w:val="21"/>
              </w:rPr>
            </w:pPr>
            <w:r>
              <w:rPr>
                <w:rFonts w:hint="eastAsia" w:ascii="宋体" w:hAnsi="宋体"/>
                <w:szCs w:val="21"/>
              </w:rPr>
              <w:t>0.8％</w:t>
            </w:r>
          </w:p>
        </w:tc>
        <w:tc>
          <w:tcPr>
            <w:tcW w:w="1749" w:type="dxa"/>
            <w:vAlign w:val="center"/>
          </w:tcPr>
          <w:p>
            <w:pPr>
              <w:keepNext w:val="0"/>
              <w:keepLines w:val="0"/>
              <w:suppressLineNumbers w:val="0"/>
              <w:tabs>
                <w:tab w:val="left" w:pos="735"/>
                <w:tab w:val="left" w:pos="1254"/>
              </w:tabs>
              <w:spacing w:before="0" w:beforeAutospacing="0" w:after="0" w:afterAutospacing="0" w:line="320" w:lineRule="exact"/>
              <w:ind w:left="0" w:right="0" w:firstLine="420" w:firstLineChars="200"/>
              <w:rPr>
                <w:rFonts w:ascii="宋体" w:hAnsi="宋体"/>
                <w:szCs w:val="21"/>
              </w:rPr>
            </w:pPr>
            <w:r>
              <w:rPr>
                <w:rFonts w:hint="eastAsia" w:ascii="宋体" w:hAnsi="宋体"/>
                <w:szCs w:val="21"/>
              </w:rPr>
              <w:t>0.7％</w:t>
            </w:r>
          </w:p>
        </w:tc>
      </w:tr>
    </w:tbl>
    <w:p>
      <w:pPr>
        <w:tabs>
          <w:tab w:val="left" w:pos="735"/>
          <w:tab w:val="left" w:pos="1254"/>
        </w:tabs>
        <w:spacing w:line="320" w:lineRule="exact"/>
        <w:ind w:firstLine="420" w:firstLineChars="200"/>
        <w:rPr>
          <w:rFonts w:ascii="宋体" w:hAnsi="宋体"/>
          <w:szCs w:val="21"/>
        </w:rPr>
      </w:pPr>
      <w:r>
        <w:rPr>
          <w:rFonts w:hint="eastAsia" w:ascii="宋体" w:hAnsi="宋体"/>
          <w:szCs w:val="21"/>
        </w:rPr>
        <w:t>2.招标代理服务费币种为人民币。</w:t>
      </w:r>
    </w:p>
    <w:p>
      <w:pPr>
        <w:tabs>
          <w:tab w:val="left" w:pos="735"/>
          <w:tab w:val="left" w:pos="1254"/>
        </w:tabs>
        <w:spacing w:line="320" w:lineRule="exact"/>
        <w:ind w:firstLine="420" w:firstLineChars="200"/>
        <w:rPr>
          <w:rFonts w:ascii="宋体" w:hAnsi="宋体"/>
          <w:szCs w:val="21"/>
        </w:rPr>
      </w:pPr>
      <w:r>
        <w:rPr>
          <w:rFonts w:hint="eastAsia" w:ascii="宋体" w:hAnsi="宋体"/>
          <w:szCs w:val="21"/>
        </w:rPr>
        <w:t>3.中标人在领取《中标通知书》时，以公对公</w:t>
      </w:r>
      <w:r>
        <w:rPr>
          <w:rFonts w:hint="eastAsia" w:ascii="宋体" w:hAnsi="宋体"/>
          <w:bCs/>
          <w:szCs w:val="21"/>
        </w:rPr>
        <w:t>银行转账、</w:t>
      </w:r>
      <w:r>
        <w:rPr>
          <w:rFonts w:hint="eastAsia" w:ascii="宋体" w:hAnsi="宋体"/>
          <w:szCs w:val="21"/>
        </w:rPr>
        <w:t>电汇或现金（金额1万元以内）方式，向采购代理机构一次性支付代理服务费。采购代理机构收款人、开户行及帐号如下：</w:t>
      </w:r>
    </w:p>
    <w:p>
      <w:pPr>
        <w:tabs>
          <w:tab w:val="left" w:pos="735"/>
          <w:tab w:val="left" w:pos="1254"/>
        </w:tabs>
        <w:spacing w:line="320" w:lineRule="exact"/>
        <w:ind w:firstLine="420" w:firstLineChars="200"/>
        <w:rPr>
          <w:rFonts w:ascii="宋体" w:hAnsi="宋体"/>
          <w:szCs w:val="21"/>
        </w:rPr>
      </w:pPr>
      <w:r>
        <w:rPr>
          <w:rFonts w:hint="eastAsia" w:ascii="宋体" w:hAnsi="宋体"/>
          <w:szCs w:val="21"/>
        </w:rPr>
        <w:t>收款人：中曜招标股份有限公司</w:t>
      </w:r>
    </w:p>
    <w:p>
      <w:pPr>
        <w:tabs>
          <w:tab w:val="left" w:pos="735"/>
          <w:tab w:val="left" w:pos="1254"/>
        </w:tabs>
        <w:spacing w:line="320" w:lineRule="exact"/>
        <w:ind w:firstLine="420" w:firstLineChars="200"/>
        <w:rPr>
          <w:rFonts w:ascii="宋体" w:hAnsi="宋体"/>
          <w:szCs w:val="21"/>
        </w:rPr>
      </w:pPr>
      <w:r>
        <w:rPr>
          <w:rFonts w:hint="eastAsia" w:ascii="宋体" w:hAnsi="宋体"/>
          <w:szCs w:val="21"/>
        </w:rPr>
        <w:t>开户行：工商银行广州南村支行</w:t>
      </w:r>
    </w:p>
    <w:p>
      <w:pPr>
        <w:spacing w:line="310" w:lineRule="exact"/>
        <w:ind w:firstLine="411" w:firstLineChars="196"/>
        <w:rPr>
          <w:rFonts w:ascii="宋体" w:hAnsi="宋体"/>
          <w:szCs w:val="21"/>
        </w:rPr>
      </w:pPr>
      <w:r>
        <w:rPr>
          <w:rFonts w:hint="eastAsia" w:ascii="宋体" w:hAnsi="宋体"/>
          <w:szCs w:val="21"/>
        </w:rPr>
        <w:t>账  号：3602070409200178179</w:t>
      </w:r>
    </w:p>
    <w:p>
      <w:pPr>
        <w:spacing w:line="310" w:lineRule="exact"/>
        <w:ind w:firstLine="411" w:firstLineChars="196"/>
        <w:rPr>
          <w:rFonts w:ascii="宋体" w:hAnsi="宋体"/>
          <w:szCs w:val="21"/>
        </w:rPr>
      </w:pPr>
      <w:r>
        <w:rPr>
          <w:rFonts w:hint="eastAsia" w:ascii="宋体" w:hAnsi="宋体"/>
          <w:szCs w:val="21"/>
        </w:rPr>
        <w:t>（二）中标（成交）人需向阳光采购服务平台缴纳平台交易服务费。</w:t>
      </w:r>
    </w:p>
    <w:p>
      <w:pPr>
        <w:spacing w:line="320" w:lineRule="exact"/>
        <w:ind w:firstLine="420" w:firstLineChars="200"/>
        <w:rPr>
          <w:rFonts w:ascii="宋体" w:hAnsi="宋体"/>
        </w:rPr>
      </w:pPr>
      <w:r>
        <w:rPr>
          <w:rFonts w:hint="eastAsia" w:ascii="宋体" w:hAnsi="宋体"/>
        </w:rPr>
        <w:t>户  名：广州交易所集团有限公司</w:t>
      </w:r>
    </w:p>
    <w:p>
      <w:pPr>
        <w:spacing w:line="320" w:lineRule="exact"/>
        <w:ind w:firstLine="420" w:firstLineChars="200"/>
        <w:rPr>
          <w:rFonts w:ascii="宋体" w:hAnsi="宋体"/>
        </w:rPr>
      </w:pPr>
      <w:r>
        <w:rPr>
          <w:rFonts w:hint="eastAsia" w:ascii="宋体" w:hAnsi="宋体"/>
        </w:rPr>
        <w:t>开户行：平安银行广州越秀支行</w:t>
      </w:r>
    </w:p>
    <w:p>
      <w:pPr>
        <w:spacing w:line="320" w:lineRule="exact"/>
        <w:ind w:firstLine="420" w:firstLineChars="200"/>
        <w:rPr>
          <w:rFonts w:ascii="宋体" w:hAnsi="宋体"/>
        </w:rPr>
      </w:pPr>
      <w:r>
        <w:rPr>
          <w:rFonts w:hint="eastAsia" w:ascii="宋体" w:hAnsi="宋体"/>
        </w:rPr>
        <w:t>账  号：15422220350062</w:t>
      </w:r>
    </w:p>
    <w:p>
      <w:pPr>
        <w:spacing w:line="310" w:lineRule="exact"/>
        <w:rPr>
          <w:rFonts w:ascii="宋体" w:hAnsi="宋体"/>
          <w:b/>
          <w:szCs w:val="21"/>
        </w:rPr>
      </w:pPr>
      <w:r>
        <w:rPr>
          <w:rFonts w:hint="eastAsia" w:ascii="宋体" w:hAnsi="宋体"/>
          <w:b/>
          <w:szCs w:val="21"/>
        </w:rPr>
        <w:t xml:space="preserve">    九、附表：</w:t>
      </w:r>
    </w:p>
    <w:p>
      <w:pPr>
        <w:spacing w:line="310" w:lineRule="exact"/>
        <w:ind w:firstLine="420" w:firstLineChars="200"/>
        <w:rPr>
          <w:rFonts w:ascii="宋体" w:hAnsi="宋体"/>
        </w:rPr>
      </w:pPr>
      <w:r>
        <w:rPr>
          <w:rFonts w:hint="eastAsia" w:ascii="宋体" w:hAnsi="宋体"/>
        </w:rPr>
        <w:t>附表1  资格性及符合性检查表</w:t>
      </w:r>
    </w:p>
    <w:p>
      <w:pPr>
        <w:spacing w:line="310" w:lineRule="exact"/>
        <w:ind w:firstLine="420" w:firstLineChars="200"/>
        <w:rPr>
          <w:rFonts w:ascii="宋体" w:hAnsi="宋体"/>
        </w:rPr>
      </w:pPr>
      <w:r>
        <w:rPr>
          <w:rFonts w:hint="eastAsia" w:ascii="宋体" w:hAnsi="宋体"/>
        </w:rPr>
        <w:t>附表2  技术评审表</w:t>
      </w:r>
    </w:p>
    <w:p>
      <w:pPr>
        <w:spacing w:line="310" w:lineRule="exact"/>
        <w:ind w:firstLine="420" w:firstLineChars="200"/>
        <w:rPr>
          <w:rFonts w:ascii="宋体" w:hAnsi="宋体"/>
        </w:rPr>
      </w:pPr>
      <w:r>
        <w:rPr>
          <w:rFonts w:hint="eastAsia" w:ascii="宋体" w:hAnsi="宋体"/>
        </w:rPr>
        <w:t>附表3  商务评审表</w:t>
      </w:r>
    </w:p>
    <w:p>
      <w:pPr>
        <w:pageBreakBefore/>
        <w:rPr>
          <w:rFonts w:ascii="宋体" w:hAnsi="宋体"/>
          <w:b/>
        </w:rPr>
      </w:pPr>
      <w:r>
        <w:rPr>
          <w:rFonts w:hint="eastAsia" w:ascii="宋体" w:hAnsi="宋体"/>
          <w:b/>
        </w:rPr>
        <w:t>附表1 资格性及符合性检查表</w:t>
      </w:r>
    </w:p>
    <w:p>
      <w:pPr>
        <w:rPr>
          <w:rFonts w:ascii="宋体" w:hAnsi="宋体"/>
          <w:b/>
        </w:rPr>
      </w:pPr>
    </w:p>
    <w:p>
      <w:pPr>
        <w:jc w:val="center"/>
        <w:outlineLvl w:val="2"/>
        <w:rPr>
          <w:rFonts w:ascii="宋体" w:hAnsi="宋体"/>
          <w:b/>
          <w:sz w:val="24"/>
          <w:szCs w:val="24"/>
        </w:rPr>
      </w:pPr>
      <w:r>
        <w:rPr>
          <w:rFonts w:hint="eastAsia" w:ascii="宋体" w:hAnsi="宋体"/>
          <w:b/>
          <w:sz w:val="24"/>
          <w:szCs w:val="24"/>
        </w:rPr>
        <w:t xml:space="preserve"> 资格性及符合性检查表</w:t>
      </w:r>
    </w:p>
    <w:p>
      <w:pPr>
        <w:pStyle w:val="93"/>
        <w:rPr>
          <w:rFonts w:ascii="宋体" w:hAnsi="宋体"/>
        </w:rPr>
      </w:pPr>
    </w:p>
    <w:p>
      <w:pPr>
        <w:ind w:firstLine="210" w:firstLineChars="100"/>
        <w:jc w:val="left"/>
        <w:rPr>
          <w:rFonts w:ascii="宋体" w:hAnsi="宋体"/>
        </w:rPr>
      </w:pPr>
      <w:r>
        <w:rPr>
          <w:rFonts w:hint="eastAsia" w:ascii="宋体" w:hAnsi="宋体"/>
        </w:rPr>
        <w:t>项目名称：</w:t>
      </w:r>
    </w:p>
    <w:tbl>
      <w:tblPr>
        <w:tblStyle w:val="44"/>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0"/>
        <w:gridCol w:w="910"/>
        <w:gridCol w:w="910"/>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300" w:type="dxa"/>
            <w:noWrap/>
            <w:vAlign w:val="center"/>
          </w:tcPr>
          <w:p>
            <w:pPr>
              <w:keepNext w:val="0"/>
              <w:keepLines w:val="0"/>
              <w:suppressLineNumbers w:val="0"/>
              <w:spacing w:before="0" w:beforeAutospacing="0" w:after="0" w:afterAutospacing="0"/>
              <w:ind w:left="0" w:right="0"/>
              <w:jc w:val="center"/>
              <w:rPr>
                <w:rFonts w:ascii="宋体" w:hAnsi="宋体"/>
                <w:b/>
                <w:szCs w:val="21"/>
              </w:rPr>
            </w:pPr>
            <w:r>
              <w:rPr>
                <w:rFonts w:hint="eastAsia" w:ascii="宋体" w:hAnsi="宋体"/>
                <w:b/>
                <w:szCs w:val="21"/>
              </w:rPr>
              <w:t>评审内容</w:t>
            </w:r>
          </w:p>
        </w:tc>
        <w:tc>
          <w:tcPr>
            <w:tcW w:w="910" w:type="dxa"/>
            <w:noWrap/>
            <w:vAlign w:val="center"/>
          </w:tcPr>
          <w:p>
            <w:pPr>
              <w:keepNext w:val="0"/>
              <w:keepLines w:val="0"/>
              <w:suppressLineNumbers w:val="0"/>
              <w:spacing w:before="0" w:beforeAutospacing="0" w:after="0" w:afterAutospacing="0"/>
              <w:ind w:left="0" w:right="0"/>
              <w:jc w:val="center"/>
              <w:rPr>
                <w:rFonts w:ascii="宋体" w:hAnsi="宋体"/>
                <w:b/>
                <w:szCs w:val="21"/>
              </w:rPr>
            </w:pPr>
            <w:r>
              <w:rPr>
                <w:rFonts w:hint="eastAsia" w:ascii="宋体" w:hAnsi="宋体"/>
                <w:b/>
                <w:szCs w:val="21"/>
              </w:rPr>
              <w:t>A</w:t>
            </w:r>
          </w:p>
        </w:tc>
        <w:tc>
          <w:tcPr>
            <w:tcW w:w="910" w:type="dxa"/>
            <w:noWrap/>
            <w:vAlign w:val="center"/>
          </w:tcPr>
          <w:p>
            <w:pPr>
              <w:keepNext w:val="0"/>
              <w:keepLines w:val="0"/>
              <w:suppressLineNumbers w:val="0"/>
              <w:spacing w:before="0" w:beforeAutospacing="0" w:after="0" w:afterAutospacing="0"/>
              <w:ind w:left="0" w:right="0"/>
              <w:jc w:val="center"/>
              <w:rPr>
                <w:rFonts w:ascii="宋体" w:hAnsi="宋体"/>
                <w:b/>
                <w:szCs w:val="21"/>
              </w:rPr>
            </w:pPr>
            <w:r>
              <w:rPr>
                <w:rFonts w:hint="eastAsia" w:ascii="宋体" w:hAnsi="宋体"/>
                <w:b/>
                <w:szCs w:val="21"/>
              </w:rPr>
              <w:t>B</w:t>
            </w:r>
          </w:p>
        </w:tc>
        <w:tc>
          <w:tcPr>
            <w:tcW w:w="910" w:type="dxa"/>
            <w:noWrap/>
            <w:vAlign w:val="center"/>
          </w:tcPr>
          <w:p>
            <w:pPr>
              <w:keepNext w:val="0"/>
              <w:keepLines w:val="0"/>
              <w:suppressLineNumbers w:val="0"/>
              <w:spacing w:before="0" w:beforeAutospacing="0" w:after="0" w:afterAutospacing="0"/>
              <w:ind w:left="0" w:right="0"/>
              <w:jc w:val="center"/>
              <w:rPr>
                <w:rFonts w:ascii="宋体" w:hAnsi="宋体"/>
                <w:b/>
                <w:szCs w:val="21"/>
              </w:rPr>
            </w:pPr>
            <w:r>
              <w:rPr>
                <w:rFonts w:hint="eastAsia" w:ascii="宋体" w:hAnsi="宋体"/>
                <w:b/>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6300" w:type="dxa"/>
            <w:noWrap/>
            <w:vAlign w:val="center"/>
          </w:tcPr>
          <w:p>
            <w:pPr>
              <w:keepNext w:val="0"/>
              <w:keepLines w:val="0"/>
              <w:suppressLineNumbers w:val="0"/>
              <w:spacing w:before="0" w:beforeAutospacing="0" w:after="0" w:afterAutospacing="0"/>
              <w:ind w:left="0" w:right="0"/>
              <w:rPr>
                <w:rFonts w:ascii="宋体" w:hAnsi="宋体" w:cs="宋体"/>
                <w:szCs w:val="21"/>
              </w:rPr>
            </w:pPr>
            <w:r>
              <w:rPr>
                <w:rFonts w:hint="eastAsia" w:ascii="宋体" w:hAnsi="宋体" w:cs="宋体"/>
                <w:szCs w:val="21"/>
              </w:rPr>
              <w:t>投标人是否符合</w:t>
            </w:r>
            <w:r>
              <w:rPr>
                <w:rFonts w:hint="eastAsia" w:ascii="宋体" w:hAnsi="宋体"/>
                <w:szCs w:val="21"/>
              </w:rPr>
              <w:t>投标人资格</w:t>
            </w:r>
            <w:r>
              <w:rPr>
                <w:rFonts w:hint="eastAsia" w:ascii="宋体" w:hAnsi="宋体" w:cs="宋体"/>
                <w:szCs w:val="21"/>
              </w:rPr>
              <w:t>要求</w:t>
            </w:r>
          </w:p>
        </w:tc>
        <w:tc>
          <w:tcPr>
            <w:tcW w:w="910" w:type="dxa"/>
            <w:noWrap/>
            <w:vAlign w:val="center"/>
          </w:tcPr>
          <w:p>
            <w:pPr>
              <w:keepNext w:val="0"/>
              <w:keepLines w:val="0"/>
              <w:suppressLineNumbers w:val="0"/>
              <w:spacing w:before="0" w:beforeAutospacing="0" w:after="0" w:afterAutospacing="0"/>
              <w:ind w:left="0" w:right="0"/>
              <w:rPr>
                <w:rFonts w:ascii="宋体" w:hAnsi="宋体"/>
                <w:szCs w:val="21"/>
              </w:rPr>
            </w:pPr>
          </w:p>
        </w:tc>
        <w:tc>
          <w:tcPr>
            <w:tcW w:w="910" w:type="dxa"/>
            <w:noWrap/>
            <w:vAlign w:val="center"/>
          </w:tcPr>
          <w:p>
            <w:pPr>
              <w:keepNext w:val="0"/>
              <w:keepLines w:val="0"/>
              <w:suppressLineNumbers w:val="0"/>
              <w:spacing w:before="0" w:beforeAutospacing="0" w:after="0" w:afterAutospacing="0"/>
              <w:ind w:left="0" w:right="0"/>
              <w:rPr>
                <w:rFonts w:ascii="宋体" w:hAnsi="宋体"/>
                <w:szCs w:val="21"/>
              </w:rPr>
            </w:pPr>
          </w:p>
        </w:tc>
        <w:tc>
          <w:tcPr>
            <w:tcW w:w="910" w:type="dxa"/>
            <w:noWrap/>
            <w:vAlign w:val="center"/>
          </w:tcPr>
          <w:p>
            <w:pPr>
              <w:keepNext w:val="0"/>
              <w:keepLines w:val="0"/>
              <w:suppressLineNumbers w:val="0"/>
              <w:spacing w:before="0" w:beforeAutospacing="0" w:after="0" w:afterAutospacing="0"/>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6300" w:type="dxa"/>
            <w:noWrap/>
            <w:vAlign w:val="center"/>
          </w:tcPr>
          <w:p>
            <w:pPr>
              <w:keepNext w:val="0"/>
              <w:keepLines w:val="0"/>
              <w:suppressLineNumbers w:val="0"/>
              <w:spacing w:before="0" w:beforeAutospacing="0" w:after="0" w:afterAutospacing="0"/>
              <w:ind w:left="0" w:right="0"/>
              <w:rPr>
                <w:rFonts w:ascii="宋体" w:hAnsi="宋体" w:cs="宋体"/>
                <w:szCs w:val="21"/>
              </w:rPr>
            </w:pPr>
            <w:r>
              <w:rPr>
                <w:rFonts w:hint="eastAsia" w:ascii="宋体" w:cs="宋体"/>
                <w:kern w:val="0"/>
                <w:szCs w:val="21"/>
              </w:rPr>
              <w:t>投标文件有效期90天</w:t>
            </w:r>
          </w:p>
        </w:tc>
        <w:tc>
          <w:tcPr>
            <w:tcW w:w="910" w:type="dxa"/>
            <w:noWrap/>
            <w:vAlign w:val="center"/>
          </w:tcPr>
          <w:p>
            <w:pPr>
              <w:keepNext w:val="0"/>
              <w:keepLines w:val="0"/>
              <w:suppressLineNumbers w:val="0"/>
              <w:spacing w:before="0" w:beforeAutospacing="0" w:after="0" w:afterAutospacing="0"/>
              <w:ind w:left="0" w:right="0"/>
              <w:rPr>
                <w:rFonts w:ascii="宋体" w:hAnsi="宋体"/>
                <w:szCs w:val="21"/>
              </w:rPr>
            </w:pPr>
          </w:p>
        </w:tc>
        <w:tc>
          <w:tcPr>
            <w:tcW w:w="910" w:type="dxa"/>
            <w:noWrap/>
            <w:vAlign w:val="center"/>
          </w:tcPr>
          <w:p>
            <w:pPr>
              <w:keepNext w:val="0"/>
              <w:keepLines w:val="0"/>
              <w:suppressLineNumbers w:val="0"/>
              <w:spacing w:before="0" w:beforeAutospacing="0" w:after="0" w:afterAutospacing="0"/>
              <w:ind w:left="0" w:right="0"/>
              <w:rPr>
                <w:rFonts w:ascii="宋体" w:hAnsi="宋体"/>
                <w:szCs w:val="21"/>
              </w:rPr>
            </w:pPr>
          </w:p>
        </w:tc>
        <w:tc>
          <w:tcPr>
            <w:tcW w:w="910" w:type="dxa"/>
            <w:noWrap/>
            <w:vAlign w:val="center"/>
          </w:tcPr>
          <w:p>
            <w:pPr>
              <w:keepNext w:val="0"/>
              <w:keepLines w:val="0"/>
              <w:suppressLineNumbers w:val="0"/>
              <w:spacing w:before="0" w:beforeAutospacing="0" w:after="0" w:afterAutospacing="0"/>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6300" w:type="dxa"/>
            <w:noWrap/>
            <w:vAlign w:val="center"/>
          </w:tcPr>
          <w:p>
            <w:pPr>
              <w:keepNext w:val="0"/>
              <w:keepLines w:val="0"/>
              <w:suppressLineNumbers w:val="0"/>
              <w:spacing w:before="0" w:beforeAutospacing="0" w:after="0" w:afterAutospacing="0"/>
              <w:ind w:left="0" w:right="0"/>
              <w:rPr>
                <w:rFonts w:ascii="宋体" w:hAnsi="宋体" w:cs="宋体"/>
                <w:szCs w:val="21"/>
              </w:rPr>
            </w:pPr>
            <w:r>
              <w:rPr>
                <w:rFonts w:hint="eastAsia" w:ascii="宋体" w:hAnsi="宋体" w:cs="宋体"/>
                <w:szCs w:val="21"/>
              </w:rPr>
              <w:t>投标文件按照招标文件规定要求签署、盖章</w:t>
            </w:r>
          </w:p>
        </w:tc>
        <w:tc>
          <w:tcPr>
            <w:tcW w:w="910" w:type="dxa"/>
            <w:noWrap/>
            <w:vAlign w:val="center"/>
          </w:tcPr>
          <w:p>
            <w:pPr>
              <w:keepNext w:val="0"/>
              <w:keepLines w:val="0"/>
              <w:suppressLineNumbers w:val="0"/>
              <w:spacing w:before="0" w:beforeAutospacing="0" w:after="0" w:afterAutospacing="0"/>
              <w:ind w:left="0" w:right="0"/>
              <w:rPr>
                <w:rFonts w:ascii="宋体" w:hAnsi="宋体"/>
                <w:szCs w:val="21"/>
              </w:rPr>
            </w:pPr>
          </w:p>
        </w:tc>
        <w:tc>
          <w:tcPr>
            <w:tcW w:w="910" w:type="dxa"/>
            <w:noWrap/>
            <w:vAlign w:val="center"/>
          </w:tcPr>
          <w:p>
            <w:pPr>
              <w:keepNext w:val="0"/>
              <w:keepLines w:val="0"/>
              <w:suppressLineNumbers w:val="0"/>
              <w:spacing w:before="0" w:beforeAutospacing="0" w:after="0" w:afterAutospacing="0"/>
              <w:ind w:left="0" w:right="0"/>
              <w:rPr>
                <w:rFonts w:ascii="宋体" w:hAnsi="宋体"/>
                <w:szCs w:val="21"/>
              </w:rPr>
            </w:pPr>
          </w:p>
        </w:tc>
        <w:tc>
          <w:tcPr>
            <w:tcW w:w="910" w:type="dxa"/>
            <w:noWrap/>
            <w:vAlign w:val="center"/>
          </w:tcPr>
          <w:p>
            <w:pPr>
              <w:keepNext w:val="0"/>
              <w:keepLines w:val="0"/>
              <w:suppressLineNumbers w:val="0"/>
              <w:spacing w:before="0" w:beforeAutospacing="0" w:after="0" w:afterAutospacing="0"/>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6300" w:type="dxa"/>
            <w:noWrap/>
            <w:vAlign w:val="center"/>
          </w:tcPr>
          <w:p>
            <w:pPr>
              <w:keepNext w:val="0"/>
              <w:keepLines w:val="0"/>
              <w:suppressLineNumbers w:val="0"/>
              <w:spacing w:before="0" w:beforeAutospacing="0" w:after="0" w:afterAutospacing="0"/>
              <w:ind w:left="0" w:right="0"/>
              <w:rPr>
                <w:rFonts w:ascii="宋体" w:hAnsi="宋体" w:cs="宋体"/>
                <w:szCs w:val="21"/>
              </w:rPr>
            </w:pPr>
            <w:r>
              <w:rPr>
                <w:rFonts w:hint="eastAsia" w:ascii="宋体" w:hAnsi="宋体" w:cs="宋体"/>
                <w:szCs w:val="21"/>
              </w:rPr>
              <w:t>按招标文件要求提交了法定代表人证明书/法人授权委托书</w:t>
            </w:r>
            <w:r>
              <w:rPr>
                <w:rFonts w:hint="eastAsia" w:ascii="宋体" w:hAnsi="宋体"/>
                <w:szCs w:val="22"/>
              </w:rPr>
              <w:t>（含法定代表人及被授权人身份证复印件）</w:t>
            </w:r>
          </w:p>
        </w:tc>
        <w:tc>
          <w:tcPr>
            <w:tcW w:w="910" w:type="dxa"/>
            <w:noWrap/>
            <w:vAlign w:val="center"/>
          </w:tcPr>
          <w:p>
            <w:pPr>
              <w:keepNext w:val="0"/>
              <w:keepLines w:val="0"/>
              <w:suppressLineNumbers w:val="0"/>
              <w:spacing w:before="0" w:beforeAutospacing="0" w:after="0" w:afterAutospacing="0"/>
              <w:ind w:left="0" w:right="0"/>
              <w:rPr>
                <w:rFonts w:ascii="宋体" w:hAnsi="宋体"/>
                <w:szCs w:val="21"/>
              </w:rPr>
            </w:pPr>
          </w:p>
        </w:tc>
        <w:tc>
          <w:tcPr>
            <w:tcW w:w="910" w:type="dxa"/>
            <w:noWrap/>
            <w:vAlign w:val="center"/>
          </w:tcPr>
          <w:p>
            <w:pPr>
              <w:keepNext w:val="0"/>
              <w:keepLines w:val="0"/>
              <w:suppressLineNumbers w:val="0"/>
              <w:spacing w:before="0" w:beforeAutospacing="0" w:after="0" w:afterAutospacing="0"/>
              <w:ind w:left="0" w:right="0"/>
              <w:rPr>
                <w:rFonts w:ascii="宋体" w:hAnsi="宋体"/>
                <w:szCs w:val="21"/>
              </w:rPr>
            </w:pPr>
          </w:p>
        </w:tc>
        <w:tc>
          <w:tcPr>
            <w:tcW w:w="910" w:type="dxa"/>
            <w:noWrap/>
            <w:vAlign w:val="center"/>
          </w:tcPr>
          <w:p>
            <w:pPr>
              <w:keepNext w:val="0"/>
              <w:keepLines w:val="0"/>
              <w:suppressLineNumbers w:val="0"/>
              <w:spacing w:before="0" w:beforeAutospacing="0" w:after="0" w:afterAutospacing="0"/>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6300" w:type="dxa"/>
            <w:noWrap/>
            <w:vAlign w:val="center"/>
          </w:tcPr>
          <w:p>
            <w:pPr>
              <w:keepNext w:val="0"/>
              <w:keepLines w:val="0"/>
              <w:suppressLineNumbers w:val="0"/>
              <w:spacing w:before="0" w:beforeAutospacing="0" w:after="0" w:afterAutospacing="0"/>
              <w:ind w:left="0" w:right="0"/>
              <w:rPr>
                <w:rFonts w:ascii="宋体" w:hAnsi="宋体" w:cs="宋体"/>
                <w:szCs w:val="21"/>
              </w:rPr>
            </w:pPr>
            <w:r>
              <w:rPr>
                <w:rFonts w:hint="eastAsia" w:ascii="宋体" w:hAnsi="宋体" w:cs="宋体"/>
                <w:szCs w:val="21"/>
              </w:rPr>
              <w:t>未附有招标人不能接受的条件</w:t>
            </w:r>
          </w:p>
        </w:tc>
        <w:tc>
          <w:tcPr>
            <w:tcW w:w="910" w:type="dxa"/>
            <w:noWrap/>
            <w:vAlign w:val="center"/>
          </w:tcPr>
          <w:p>
            <w:pPr>
              <w:keepNext w:val="0"/>
              <w:keepLines w:val="0"/>
              <w:suppressLineNumbers w:val="0"/>
              <w:spacing w:before="0" w:beforeAutospacing="0" w:after="0" w:afterAutospacing="0"/>
              <w:ind w:left="0" w:right="0"/>
              <w:rPr>
                <w:rFonts w:ascii="宋体" w:hAnsi="宋体"/>
                <w:szCs w:val="21"/>
              </w:rPr>
            </w:pPr>
          </w:p>
        </w:tc>
        <w:tc>
          <w:tcPr>
            <w:tcW w:w="910" w:type="dxa"/>
            <w:noWrap/>
            <w:vAlign w:val="center"/>
          </w:tcPr>
          <w:p>
            <w:pPr>
              <w:keepNext w:val="0"/>
              <w:keepLines w:val="0"/>
              <w:suppressLineNumbers w:val="0"/>
              <w:spacing w:before="0" w:beforeAutospacing="0" w:after="0" w:afterAutospacing="0"/>
              <w:ind w:left="0" w:right="0"/>
              <w:rPr>
                <w:rFonts w:ascii="宋体" w:hAnsi="宋体"/>
                <w:szCs w:val="21"/>
              </w:rPr>
            </w:pPr>
          </w:p>
        </w:tc>
        <w:tc>
          <w:tcPr>
            <w:tcW w:w="910" w:type="dxa"/>
            <w:noWrap/>
            <w:vAlign w:val="center"/>
          </w:tcPr>
          <w:p>
            <w:pPr>
              <w:keepNext w:val="0"/>
              <w:keepLines w:val="0"/>
              <w:suppressLineNumbers w:val="0"/>
              <w:spacing w:before="0" w:beforeAutospacing="0" w:after="0" w:afterAutospacing="0"/>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6300" w:type="dxa"/>
            <w:noWrap/>
            <w:vAlign w:val="center"/>
          </w:tcPr>
          <w:p>
            <w:pPr>
              <w:keepNext w:val="0"/>
              <w:keepLines w:val="0"/>
              <w:suppressLineNumbers w:val="0"/>
              <w:spacing w:before="0" w:beforeAutospacing="0" w:after="0" w:afterAutospacing="0"/>
              <w:ind w:left="0" w:right="0"/>
              <w:rPr>
                <w:rFonts w:ascii="宋体" w:hAnsi="宋体"/>
                <w:szCs w:val="21"/>
              </w:rPr>
            </w:pPr>
            <w:r>
              <w:rPr>
                <w:rFonts w:hint="eastAsia" w:ascii="宋体" w:hAnsi="宋体"/>
                <w:szCs w:val="21"/>
              </w:rPr>
              <w:t>投标文件实质性响应招标文件要求（★号条款），且无经评委认定为无效标的</w:t>
            </w:r>
          </w:p>
        </w:tc>
        <w:tc>
          <w:tcPr>
            <w:tcW w:w="910" w:type="dxa"/>
            <w:noWrap/>
            <w:vAlign w:val="center"/>
          </w:tcPr>
          <w:p>
            <w:pPr>
              <w:keepNext w:val="0"/>
              <w:keepLines w:val="0"/>
              <w:suppressLineNumbers w:val="0"/>
              <w:spacing w:before="0" w:beforeAutospacing="0" w:after="0" w:afterAutospacing="0"/>
              <w:ind w:left="0" w:right="0"/>
              <w:rPr>
                <w:rFonts w:ascii="宋体" w:hAnsi="宋体"/>
                <w:szCs w:val="21"/>
              </w:rPr>
            </w:pPr>
          </w:p>
        </w:tc>
        <w:tc>
          <w:tcPr>
            <w:tcW w:w="910" w:type="dxa"/>
            <w:noWrap/>
            <w:vAlign w:val="center"/>
          </w:tcPr>
          <w:p>
            <w:pPr>
              <w:keepNext w:val="0"/>
              <w:keepLines w:val="0"/>
              <w:suppressLineNumbers w:val="0"/>
              <w:spacing w:before="0" w:beforeAutospacing="0" w:after="0" w:afterAutospacing="0"/>
              <w:ind w:left="0" w:right="0"/>
              <w:rPr>
                <w:rFonts w:ascii="宋体" w:hAnsi="宋体"/>
                <w:szCs w:val="21"/>
              </w:rPr>
            </w:pPr>
          </w:p>
        </w:tc>
        <w:tc>
          <w:tcPr>
            <w:tcW w:w="910" w:type="dxa"/>
            <w:noWrap/>
            <w:vAlign w:val="center"/>
          </w:tcPr>
          <w:p>
            <w:pPr>
              <w:keepNext w:val="0"/>
              <w:keepLines w:val="0"/>
              <w:suppressLineNumbers w:val="0"/>
              <w:spacing w:before="0" w:beforeAutospacing="0" w:after="0" w:afterAutospacing="0"/>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6300" w:type="dxa"/>
            <w:noWrap/>
            <w:vAlign w:val="center"/>
          </w:tcPr>
          <w:p>
            <w:pPr>
              <w:keepNext w:val="0"/>
              <w:keepLines w:val="0"/>
              <w:suppressLineNumbers w:val="0"/>
              <w:spacing w:before="0" w:beforeAutospacing="0" w:after="0" w:afterAutospacing="0"/>
              <w:ind w:left="0" w:right="0"/>
              <w:rPr>
                <w:rFonts w:ascii="宋体" w:hAnsi="宋体"/>
                <w:szCs w:val="21"/>
              </w:rPr>
            </w:pPr>
            <w:r>
              <w:rPr>
                <w:rFonts w:hint="eastAsia" w:ascii="宋体" w:hAnsi="宋体"/>
                <w:szCs w:val="22"/>
              </w:rPr>
              <w:t>报价方案是唯一确定且不低于投入资金最低限价；关键、主要内容无漏项</w:t>
            </w:r>
          </w:p>
        </w:tc>
        <w:tc>
          <w:tcPr>
            <w:tcW w:w="910" w:type="dxa"/>
            <w:noWrap/>
            <w:vAlign w:val="center"/>
          </w:tcPr>
          <w:p>
            <w:pPr>
              <w:keepNext w:val="0"/>
              <w:keepLines w:val="0"/>
              <w:suppressLineNumbers w:val="0"/>
              <w:spacing w:before="0" w:beforeAutospacing="0" w:after="0" w:afterAutospacing="0"/>
              <w:ind w:left="0" w:right="0"/>
              <w:rPr>
                <w:rFonts w:ascii="宋体" w:hAnsi="宋体"/>
                <w:szCs w:val="21"/>
              </w:rPr>
            </w:pPr>
          </w:p>
        </w:tc>
        <w:tc>
          <w:tcPr>
            <w:tcW w:w="910" w:type="dxa"/>
            <w:noWrap/>
            <w:vAlign w:val="center"/>
          </w:tcPr>
          <w:p>
            <w:pPr>
              <w:keepNext w:val="0"/>
              <w:keepLines w:val="0"/>
              <w:suppressLineNumbers w:val="0"/>
              <w:spacing w:before="0" w:beforeAutospacing="0" w:after="0" w:afterAutospacing="0"/>
              <w:ind w:left="0" w:right="0"/>
              <w:rPr>
                <w:rFonts w:ascii="宋体" w:hAnsi="宋体"/>
                <w:szCs w:val="21"/>
              </w:rPr>
            </w:pPr>
          </w:p>
        </w:tc>
        <w:tc>
          <w:tcPr>
            <w:tcW w:w="910" w:type="dxa"/>
            <w:noWrap/>
            <w:vAlign w:val="center"/>
          </w:tcPr>
          <w:p>
            <w:pPr>
              <w:keepNext w:val="0"/>
              <w:keepLines w:val="0"/>
              <w:suppressLineNumbers w:val="0"/>
              <w:spacing w:before="0" w:beforeAutospacing="0" w:after="0" w:afterAutospacing="0"/>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6300" w:type="dxa"/>
            <w:noWrap/>
            <w:vAlign w:val="center"/>
          </w:tcPr>
          <w:p>
            <w:pPr>
              <w:keepNext w:val="0"/>
              <w:keepLines w:val="0"/>
              <w:suppressLineNumbers w:val="0"/>
              <w:autoSpaceDE w:val="0"/>
              <w:autoSpaceDN w:val="0"/>
              <w:adjustRightInd w:val="0"/>
              <w:spacing w:before="0" w:beforeAutospacing="0" w:after="0" w:afterAutospacing="0"/>
              <w:ind w:left="0" w:right="0"/>
              <w:jc w:val="left"/>
              <w:rPr>
                <w:rFonts w:ascii="宋体" w:cs="宋体"/>
                <w:kern w:val="0"/>
                <w:szCs w:val="21"/>
              </w:rPr>
            </w:pPr>
            <w:r>
              <w:rPr>
                <w:rFonts w:hint="eastAsia" w:ascii="宋体" w:hAnsi="宋体" w:cs="宋体"/>
                <w:kern w:val="0"/>
                <w:szCs w:val="21"/>
              </w:rPr>
              <w:t>投标文件未出现招标文件中约定的被认定为无效投标的情况</w:t>
            </w:r>
          </w:p>
        </w:tc>
        <w:tc>
          <w:tcPr>
            <w:tcW w:w="910" w:type="dxa"/>
            <w:noWrap/>
            <w:vAlign w:val="center"/>
          </w:tcPr>
          <w:p>
            <w:pPr>
              <w:keepNext w:val="0"/>
              <w:keepLines w:val="0"/>
              <w:suppressLineNumbers w:val="0"/>
              <w:spacing w:before="0" w:beforeAutospacing="0" w:after="0" w:afterAutospacing="0"/>
              <w:ind w:left="0" w:right="0"/>
              <w:rPr>
                <w:szCs w:val="22"/>
              </w:rPr>
            </w:pPr>
          </w:p>
        </w:tc>
        <w:tc>
          <w:tcPr>
            <w:tcW w:w="910" w:type="dxa"/>
            <w:noWrap/>
            <w:vAlign w:val="center"/>
          </w:tcPr>
          <w:p>
            <w:pPr>
              <w:keepNext w:val="0"/>
              <w:keepLines w:val="0"/>
              <w:suppressLineNumbers w:val="0"/>
              <w:spacing w:before="0" w:beforeAutospacing="0" w:after="0" w:afterAutospacing="0"/>
              <w:ind w:left="0" w:right="0"/>
              <w:rPr>
                <w:szCs w:val="22"/>
              </w:rPr>
            </w:pPr>
          </w:p>
        </w:tc>
        <w:tc>
          <w:tcPr>
            <w:tcW w:w="910" w:type="dxa"/>
            <w:noWrap/>
            <w:vAlign w:val="center"/>
          </w:tcPr>
          <w:p>
            <w:pPr>
              <w:keepNext w:val="0"/>
              <w:keepLines w:val="0"/>
              <w:suppressLineNumbers w:val="0"/>
              <w:spacing w:before="0" w:beforeAutospacing="0" w:after="0" w:afterAutospacing="0"/>
              <w:ind w:left="0" w:right="0"/>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6300" w:type="dxa"/>
            <w:noWrap/>
            <w:vAlign w:val="center"/>
          </w:tcPr>
          <w:p>
            <w:pPr>
              <w:keepNext w:val="0"/>
              <w:keepLines w:val="0"/>
              <w:suppressLineNumbers w:val="0"/>
              <w:spacing w:before="0" w:beforeAutospacing="0" w:after="0" w:afterAutospacing="0"/>
              <w:ind w:left="0" w:right="0"/>
              <w:jc w:val="center"/>
              <w:rPr>
                <w:rFonts w:ascii="宋体" w:hAnsi="宋体"/>
                <w:b/>
                <w:szCs w:val="21"/>
              </w:rPr>
            </w:pPr>
            <w:r>
              <w:rPr>
                <w:rFonts w:hint="eastAsia" w:ascii="宋体" w:hAnsi="宋体"/>
                <w:b/>
                <w:szCs w:val="21"/>
              </w:rPr>
              <w:t>结论</w:t>
            </w:r>
          </w:p>
        </w:tc>
        <w:tc>
          <w:tcPr>
            <w:tcW w:w="910" w:type="dxa"/>
            <w:noWrap/>
            <w:vAlign w:val="center"/>
          </w:tcPr>
          <w:p>
            <w:pPr>
              <w:keepNext w:val="0"/>
              <w:keepLines w:val="0"/>
              <w:suppressLineNumbers w:val="0"/>
              <w:spacing w:before="0" w:beforeAutospacing="0" w:after="0" w:afterAutospacing="0"/>
              <w:ind w:left="0" w:right="0"/>
              <w:jc w:val="center"/>
              <w:rPr>
                <w:rFonts w:ascii="宋体" w:hAnsi="宋体"/>
                <w:b/>
                <w:szCs w:val="21"/>
              </w:rPr>
            </w:pPr>
          </w:p>
        </w:tc>
        <w:tc>
          <w:tcPr>
            <w:tcW w:w="910" w:type="dxa"/>
            <w:noWrap/>
            <w:vAlign w:val="center"/>
          </w:tcPr>
          <w:p>
            <w:pPr>
              <w:keepNext w:val="0"/>
              <w:keepLines w:val="0"/>
              <w:suppressLineNumbers w:val="0"/>
              <w:spacing w:before="0" w:beforeAutospacing="0" w:after="0" w:afterAutospacing="0"/>
              <w:ind w:left="0" w:right="0"/>
              <w:jc w:val="center"/>
              <w:rPr>
                <w:rFonts w:ascii="宋体" w:hAnsi="宋体"/>
                <w:b/>
                <w:szCs w:val="21"/>
              </w:rPr>
            </w:pPr>
          </w:p>
        </w:tc>
        <w:tc>
          <w:tcPr>
            <w:tcW w:w="910" w:type="dxa"/>
            <w:noWrap/>
            <w:vAlign w:val="center"/>
          </w:tcPr>
          <w:p>
            <w:pPr>
              <w:keepNext w:val="0"/>
              <w:keepLines w:val="0"/>
              <w:suppressLineNumbers w:val="0"/>
              <w:spacing w:before="0" w:beforeAutospacing="0" w:after="0" w:afterAutospacing="0"/>
              <w:ind w:left="0" w:right="0"/>
              <w:jc w:val="center"/>
              <w:rPr>
                <w:rFonts w:ascii="宋体" w:hAnsi="宋体"/>
                <w:b/>
                <w:szCs w:val="21"/>
              </w:rPr>
            </w:pPr>
          </w:p>
        </w:tc>
      </w:tr>
    </w:tbl>
    <w:p>
      <w:pPr>
        <w:jc w:val="left"/>
        <w:rPr>
          <w:rFonts w:ascii="宋体" w:hAnsi="宋体"/>
        </w:rPr>
      </w:pPr>
    </w:p>
    <w:p>
      <w:pPr>
        <w:jc w:val="left"/>
        <w:rPr>
          <w:rFonts w:ascii="宋体" w:hAnsi="宋体"/>
        </w:rPr>
      </w:pPr>
      <w:r>
        <w:rPr>
          <w:rFonts w:hint="eastAsia" w:ascii="宋体" w:hAnsi="宋体"/>
        </w:rPr>
        <w:t>注：1、每一项目符合的打“√”，不符合的打“×”；出现一个“×”的结论为不通过</w:t>
      </w:r>
    </w:p>
    <w:p>
      <w:pPr>
        <w:ind w:firstLine="420" w:firstLineChars="200"/>
        <w:jc w:val="left"/>
        <w:rPr>
          <w:rFonts w:ascii="宋体" w:hAnsi="宋体"/>
        </w:rPr>
      </w:pPr>
      <w:r>
        <w:rPr>
          <w:rFonts w:ascii="宋体" w:hAnsi="宋体"/>
        </w:rPr>
        <w:t>2</w:t>
      </w:r>
      <w:r>
        <w:rPr>
          <w:rFonts w:hint="eastAsia" w:ascii="宋体" w:hAnsi="宋体"/>
        </w:rPr>
        <w:t>、“结论”一栏中应写“通过”或“</w:t>
      </w:r>
      <w:r>
        <w:rPr>
          <w:rFonts w:hint="eastAsia" w:ascii="宋体" w:hAnsi="宋体"/>
          <w:bCs/>
        </w:rPr>
        <w:t>不通过</w:t>
      </w:r>
      <w:r>
        <w:rPr>
          <w:rFonts w:hint="eastAsia" w:ascii="宋体" w:hAnsi="宋体"/>
        </w:rPr>
        <w:t>”</w:t>
      </w:r>
    </w:p>
    <w:p>
      <w:pPr>
        <w:spacing w:line="336" w:lineRule="auto"/>
        <w:rPr>
          <w:rFonts w:ascii="宋体" w:hAnsi="宋体"/>
        </w:rPr>
        <w:sectPr>
          <w:headerReference r:id="rId8" w:type="default"/>
          <w:footerReference r:id="rId9" w:type="default"/>
          <w:pgSz w:w="11907" w:h="16840"/>
          <w:pgMar w:top="1247" w:right="1191" w:bottom="1247" w:left="1191" w:header="851" w:footer="851" w:gutter="0"/>
          <w:pgNumType w:start="1"/>
          <w:cols w:space="720" w:num="1"/>
          <w:docGrid w:linePitch="312" w:charSpace="0"/>
        </w:sectPr>
      </w:pPr>
    </w:p>
    <w:p>
      <w:pPr>
        <w:pageBreakBefore/>
        <w:rPr>
          <w:rFonts w:ascii="宋体" w:hAnsi="宋体"/>
          <w:b/>
        </w:rPr>
      </w:pPr>
      <w:r>
        <w:rPr>
          <w:rFonts w:hint="eastAsia" w:ascii="宋体" w:hAnsi="宋体"/>
          <w:b/>
        </w:rPr>
        <w:t>附表2 技术评审表</w:t>
      </w:r>
    </w:p>
    <w:p>
      <w:pPr>
        <w:spacing w:line="360" w:lineRule="auto"/>
        <w:rPr>
          <w:rFonts w:ascii="宋体" w:hAnsi="宋体"/>
          <w:sz w:val="11"/>
          <w:szCs w:val="11"/>
        </w:rPr>
      </w:pPr>
    </w:p>
    <w:p>
      <w:pPr>
        <w:spacing w:line="300" w:lineRule="exact"/>
        <w:jc w:val="center"/>
        <w:rPr>
          <w:rFonts w:ascii="宋体" w:hAnsi="宋体"/>
          <w:b/>
          <w:sz w:val="28"/>
          <w:szCs w:val="28"/>
        </w:rPr>
      </w:pPr>
      <w:r>
        <w:rPr>
          <w:rFonts w:hint="eastAsia" w:ascii="宋体" w:hAnsi="宋体"/>
          <w:b/>
          <w:sz w:val="28"/>
          <w:szCs w:val="28"/>
        </w:rPr>
        <w:t xml:space="preserve"> 技术评审表</w:t>
      </w:r>
    </w:p>
    <w:tbl>
      <w:tblPr>
        <w:tblStyle w:val="44"/>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7796"/>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5" w:type="dxa"/>
            <w:vAlign w:val="center"/>
          </w:tcPr>
          <w:p>
            <w:pPr>
              <w:keepNext w:val="0"/>
              <w:keepLines w:val="0"/>
              <w:suppressLineNumbers w:val="0"/>
              <w:snapToGrid w:val="0"/>
              <w:spacing w:before="0" w:beforeAutospacing="0" w:after="0" w:afterAutospacing="0" w:line="240" w:lineRule="exact"/>
              <w:ind w:left="0" w:right="0"/>
              <w:jc w:val="center"/>
              <w:rPr>
                <w:rFonts w:ascii="宋体" w:hAnsi="宋体"/>
                <w:b/>
                <w:szCs w:val="21"/>
              </w:rPr>
            </w:pPr>
            <w:r>
              <w:rPr>
                <w:rFonts w:hint="eastAsia" w:ascii="宋体" w:hAnsi="宋体"/>
                <w:b/>
                <w:szCs w:val="21"/>
              </w:rPr>
              <w:t>评审项目</w:t>
            </w:r>
          </w:p>
        </w:tc>
        <w:tc>
          <w:tcPr>
            <w:tcW w:w="7796" w:type="dxa"/>
            <w:vAlign w:val="center"/>
          </w:tcPr>
          <w:p>
            <w:pPr>
              <w:keepNext w:val="0"/>
              <w:keepLines w:val="0"/>
              <w:suppressLineNumbers w:val="0"/>
              <w:snapToGrid w:val="0"/>
              <w:spacing w:before="0" w:beforeAutospacing="0" w:after="0" w:afterAutospacing="0" w:line="240" w:lineRule="exact"/>
              <w:ind w:left="0" w:right="0"/>
              <w:jc w:val="center"/>
              <w:rPr>
                <w:rFonts w:ascii="宋体" w:hAnsi="宋体"/>
                <w:b/>
                <w:szCs w:val="21"/>
              </w:rPr>
            </w:pPr>
            <w:r>
              <w:rPr>
                <w:rFonts w:hint="eastAsia" w:ascii="宋体" w:hAnsi="宋体"/>
                <w:b/>
                <w:szCs w:val="21"/>
              </w:rPr>
              <w:t>评分标准</w:t>
            </w:r>
          </w:p>
        </w:tc>
        <w:tc>
          <w:tcPr>
            <w:tcW w:w="709" w:type="dxa"/>
            <w:vAlign w:val="center"/>
          </w:tcPr>
          <w:p>
            <w:pPr>
              <w:keepNext w:val="0"/>
              <w:keepLines w:val="0"/>
              <w:suppressLineNumbers w:val="0"/>
              <w:snapToGrid w:val="0"/>
              <w:spacing w:before="0" w:beforeAutospacing="0" w:after="0" w:afterAutospacing="0" w:line="240" w:lineRule="exact"/>
              <w:ind w:left="0" w:right="0"/>
              <w:jc w:val="center"/>
              <w:rPr>
                <w:rFonts w:ascii="宋体" w:hAnsi="宋体"/>
                <w:b/>
                <w:szCs w:val="21"/>
              </w:rPr>
            </w:pPr>
            <w:r>
              <w:rPr>
                <w:rFonts w:hint="eastAsia" w:ascii="宋体" w:hAnsi="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5" w:type="dxa"/>
            <w:vAlign w:val="center"/>
          </w:tcPr>
          <w:p>
            <w:pPr>
              <w:keepNext w:val="0"/>
              <w:keepLines w:val="0"/>
              <w:widowControl/>
              <w:suppressLineNumbers w:val="0"/>
              <w:spacing w:before="0" w:beforeAutospacing="0" w:after="0" w:afterAutospacing="0" w:line="240" w:lineRule="exact"/>
              <w:ind w:left="0" w:right="0"/>
              <w:jc w:val="center"/>
              <w:rPr>
                <w:rFonts w:ascii="宋体" w:hAnsi="宋体" w:cs="宋体"/>
                <w:szCs w:val="21"/>
              </w:rPr>
            </w:pPr>
            <w:r>
              <w:rPr>
                <w:rFonts w:hint="eastAsia" w:ascii="宋体" w:hAnsi="宋体"/>
                <w:szCs w:val="21"/>
              </w:rPr>
              <w:t>饭堂运营</w:t>
            </w:r>
            <w:r>
              <w:rPr>
                <w:rFonts w:ascii="宋体" w:hAnsi="宋体"/>
                <w:szCs w:val="21"/>
              </w:rPr>
              <w:t>整体</w:t>
            </w:r>
            <w:r>
              <w:rPr>
                <w:rFonts w:hint="eastAsia" w:ascii="宋体" w:hAnsi="宋体"/>
                <w:szCs w:val="21"/>
              </w:rPr>
              <w:t>服务方案</w:t>
            </w:r>
          </w:p>
        </w:tc>
        <w:tc>
          <w:tcPr>
            <w:tcW w:w="7796" w:type="dxa"/>
            <w:vAlign w:val="center"/>
          </w:tcPr>
          <w:p>
            <w:pPr>
              <w:keepNext w:val="0"/>
              <w:keepLines w:val="0"/>
              <w:suppressLineNumbers w:val="0"/>
              <w:spacing w:before="0" w:beforeAutospacing="0" w:after="0" w:afterAutospacing="0" w:line="240" w:lineRule="exact"/>
              <w:ind w:left="0" w:right="0"/>
              <w:rPr>
                <w:rFonts w:ascii="宋体" w:hAnsi="宋体"/>
                <w:szCs w:val="21"/>
              </w:rPr>
            </w:pPr>
            <w:bookmarkStart w:id="23" w:name="_Toc5700"/>
            <w:bookmarkStart w:id="24" w:name="_Toc13985"/>
            <w:r>
              <w:rPr>
                <w:rFonts w:hint="eastAsia" w:ascii="宋体" w:hAnsi="宋体"/>
                <w:szCs w:val="21"/>
              </w:rPr>
              <w:t>根据投标人提供的饭堂运营</w:t>
            </w:r>
            <w:r>
              <w:rPr>
                <w:rFonts w:ascii="宋体" w:hAnsi="宋体"/>
                <w:szCs w:val="21"/>
              </w:rPr>
              <w:t>整体</w:t>
            </w:r>
            <w:r>
              <w:rPr>
                <w:rFonts w:hint="eastAsia" w:ascii="宋体" w:hAnsi="宋体"/>
                <w:szCs w:val="21"/>
              </w:rPr>
              <w:t>服务方案进行评审：</w:t>
            </w:r>
            <w:bookmarkEnd w:id="23"/>
            <w:bookmarkEnd w:id="24"/>
          </w:p>
          <w:p>
            <w:pPr>
              <w:keepNext w:val="0"/>
              <w:keepLines w:val="0"/>
              <w:suppressLineNumbers w:val="0"/>
              <w:spacing w:before="0" w:beforeAutospacing="0" w:after="0" w:afterAutospacing="0" w:line="240" w:lineRule="exact"/>
              <w:ind w:left="0" w:right="0"/>
              <w:rPr>
                <w:rFonts w:ascii="宋体" w:hAnsi="宋体"/>
                <w:szCs w:val="21"/>
              </w:rPr>
            </w:pPr>
            <w:r>
              <w:rPr>
                <w:rFonts w:hint="eastAsia" w:ascii="宋体" w:hAnsi="宋体"/>
                <w:szCs w:val="21"/>
              </w:rPr>
              <w:t>方案全面完善、科学合理、可行性强，得12分；</w:t>
            </w:r>
          </w:p>
          <w:p>
            <w:pPr>
              <w:keepNext w:val="0"/>
              <w:keepLines w:val="0"/>
              <w:suppressLineNumbers w:val="0"/>
              <w:spacing w:before="0" w:beforeAutospacing="0" w:after="0" w:afterAutospacing="0" w:line="240" w:lineRule="exact"/>
              <w:ind w:left="0" w:right="0"/>
              <w:rPr>
                <w:rFonts w:ascii="宋体" w:hAnsi="宋体"/>
                <w:szCs w:val="21"/>
              </w:rPr>
            </w:pPr>
            <w:bookmarkStart w:id="25" w:name="_Toc31094"/>
            <w:bookmarkStart w:id="26" w:name="_Toc21731"/>
            <w:r>
              <w:rPr>
                <w:rFonts w:hint="eastAsia" w:ascii="宋体" w:hAnsi="宋体"/>
                <w:szCs w:val="21"/>
              </w:rPr>
              <w:t>方案较完善、较合理、可行性较强，得8分；</w:t>
            </w:r>
            <w:bookmarkEnd w:id="25"/>
            <w:bookmarkEnd w:id="26"/>
            <w:bookmarkStart w:id="27" w:name="_Toc3487"/>
            <w:bookmarkStart w:id="28" w:name="_Toc6303"/>
          </w:p>
          <w:p>
            <w:pPr>
              <w:keepNext w:val="0"/>
              <w:keepLines w:val="0"/>
              <w:suppressLineNumbers w:val="0"/>
              <w:spacing w:before="0" w:beforeAutospacing="0" w:after="0" w:afterAutospacing="0" w:line="240" w:lineRule="exact"/>
              <w:ind w:left="0" w:right="0"/>
              <w:rPr>
                <w:rFonts w:ascii="宋体" w:hAnsi="宋体"/>
                <w:szCs w:val="21"/>
              </w:rPr>
            </w:pPr>
            <w:r>
              <w:rPr>
                <w:rFonts w:hint="eastAsia" w:ascii="宋体" w:hAnsi="宋体"/>
                <w:szCs w:val="21"/>
              </w:rPr>
              <w:t>方案基本完善，基本合理、有一定可行性，得4分；</w:t>
            </w:r>
          </w:p>
          <w:p>
            <w:pPr>
              <w:keepNext w:val="0"/>
              <w:keepLines w:val="0"/>
              <w:suppressLineNumbers w:val="0"/>
              <w:spacing w:before="0" w:beforeAutospacing="0" w:after="0" w:afterAutospacing="0" w:line="240" w:lineRule="exact"/>
              <w:ind w:left="0" w:right="0"/>
              <w:rPr>
                <w:rFonts w:ascii="宋体" w:hAnsi="宋体"/>
                <w:szCs w:val="21"/>
              </w:rPr>
            </w:pPr>
            <w:r>
              <w:rPr>
                <w:rFonts w:hint="eastAsia" w:ascii="宋体" w:hAnsi="宋体"/>
                <w:szCs w:val="21"/>
              </w:rPr>
              <w:t>方案简单或欠缺合理性或可行性差，得1分；</w:t>
            </w:r>
            <w:bookmarkEnd w:id="27"/>
            <w:bookmarkEnd w:id="28"/>
          </w:p>
          <w:p>
            <w:pPr>
              <w:keepNext w:val="0"/>
              <w:keepLines w:val="0"/>
              <w:suppressLineNumbers w:val="0"/>
              <w:spacing w:before="0" w:beforeAutospacing="0" w:after="0" w:afterAutospacing="0" w:line="240" w:lineRule="exact"/>
              <w:ind w:left="0" w:right="0"/>
              <w:rPr>
                <w:rFonts w:ascii="宋体" w:hAnsi="宋体"/>
                <w:szCs w:val="21"/>
              </w:rPr>
            </w:pPr>
            <w:r>
              <w:rPr>
                <w:rFonts w:hint="eastAsia" w:ascii="宋体" w:hAnsi="宋体"/>
                <w:szCs w:val="21"/>
              </w:rPr>
              <w:t>不提供不得分</w:t>
            </w:r>
          </w:p>
        </w:tc>
        <w:tc>
          <w:tcPr>
            <w:tcW w:w="709" w:type="dxa"/>
            <w:vAlign w:val="center"/>
          </w:tcPr>
          <w:p>
            <w:pPr>
              <w:keepNext w:val="0"/>
              <w:keepLines w:val="0"/>
              <w:suppressLineNumbers w:val="0"/>
              <w:snapToGrid w:val="0"/>
              <w:spacing w:before="0" w:beforeAutospacing="0" w:after="0" w:afterAutospacing="0" w:line="240" w:lineRule="exact"/>
              <w:ind w:left="0" w:right="0"/>
              <w:jc w:val="center"/>
              <w:rPr>
                <w:rFonts w:ascii="宋体" w:hAnsi="宋体"/>
                <w:szCs w:val="21"/>
              </w:rPr>
            </w:pPr>
            <w:r>
              <w:rPr>
                <w:rFonts w:hint="eastAsia" w:ascii="宋体" w:hAnsi="宋体"/>
                <w:szCs w:val="21"/>
              </w:rPr>
              <w:t>1</w:t>
            </w: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5" w:type="dxa"/>
            <w:vAlign w:val="center"/>
          </w:tcPr>
          <w:p>
            <w:pPr>
              <w:keepNext w:val="0"/>
              <w:keepLines w:val="0"/>
              <w:suppressLineNumbers w:val="0"/>
              <w:spacing w:before="0" w:beforeAutospacing="0" w:after="0" w:afterAutospacing="0" w:line="240" w:lineRule="exact"/>
              <w:ind w:left="0" w:right="0"/>
              <w:jc w:val="center"/>
              <w:rPr>
                <w:rFonts w:ascii="宋体" w:hAnsi="宋体"/>
                <w:szCs w:val="21"/>
              </w:rPr>
            </w:pPr>
            <w:r>
              <w:rPr>
                <w:rFonts w:hint="eastAsia" w:ascii="宋体" w:hAnsi="宋体"/>
                <w:szCs w:val="21"/>
              </w:rPr>
              <w:t>营养膳食搭配方案</w:t>
            </w:r>
          </w:p>
        </w:tc>
        <w:tc>
          <w:tcPr>
            <w:tcW w:w="7796" w:type="dxa"/>
            <w:vAlign w:val="center"/>
          </w:tcPr>
          <w:p>
            <w:pPr>
              <w:keepNext w:val="0"/>
              <w:keepLines w:val="0"/>
              <w:suppressLineNumbers w:val="0"/>
              <w:spacing w:before="0" w:beforeAutospacing="0" w:after="0" w:afterAutospacing="0" w:line="240" w:lineRule="exact"/>
              <w:ind w:left="0" w:right="0"/>
              <w:rPr>
                <w:rFonts w:ascii="宋体" w:hAnsi="宋体"/>
                <w:szCs w:val="21"/>
              </w:rPr>
            </w:pPr>
            <w:r>
              <w:rPr>
                <w:rFonts w:hint="eastAsia" w:ascii="宋体" w:hAnsi="宋体"/>
                <w:szCs w:val="21"/>
              </w:rPr>
              <w:t>根据投标人提供的营养膳食搭配方案进行评审：</w:t>
            </w:r>
          </w:p>
          <w:p>
            <w:pPr>
              <w:keepNext w:val="0"/>
              <w:keepLines w:val="0"/>
              <w:suppressLineNumbers w:val="0"/>
              <w:spacing w:before="0" w:beforeAutospacing="0" w:after="0" w:afterAutospacing="0" w:line="240" w:lineRule="exact"/>
              <w:ind w:left="0" w:right="0"/>
              <w:rPr>
                <w:rFonts w:ascii="宋体" w:hAnsi="宋体"/>
                <w:szCs w:val="21"/>
              </w:rPr>
            </w:pPr>
            <w:r>
              <w:rPr>
                <w:rFonts w:hint="eastAsia" w:ascii="宋体" w:hAnsi="宋体"/>
                <w:szCs w:val="21"/>
              </w:rPr>
              <w:t>方案全面完善、膳食指导方案科学合理、可行性强，得</w:t>
            </w:r>
            <w:r>
              <w:rPr>
                <w:rFonts w:ascii="宋体" w:hAnsi="宋体"/>
                <w:szCs w:val="21"/>
              </w:rPr>
              <w:t>8</w:t>
            </w:r>
            <w:r>
              <w:rPr>
                <w:rFonts w:hint="eastAsia" w:ascii="宋体" w:hAnsi="宋体"/>
                <w:szCs w:val="21"/>
              </w:rPr>
              <w:t>分；</w:t>
            </w:r>
          </w:p>
          <w:p>
            <w:pPr>
              <w:keepNext w:val="0"/>
              <w:keepLines w:val="0"/>
              <w:suppressLineNumbers w:val="0"/>
              <w:spacing w:before="0" w:beforeAutospacing="0" w:after="0" w:afterAutospacing="0" w:line="240" w:lineRule="exact"/>
              <w:ind w:left="0" w:right="0"/>
              <w:rPr>
                <w:rFonts w:ascii="宋体" w:hAnsi="宋体"/>
                <w:szCs w:val="21"/>
              </w:rPr>
            </w:pPr>
            <w:r>
              <w:rPr>
                <w:rFonts w:hint="eastAsia" w:ascii="宋体" w:hAnsi="宋体"/>
                <w:szCs w:val="21"/>
              </w:rPr>
              <w:t>方案较完善、膳食指导方案较合理、可行性较强，得6分；</w:t>
            </w:r>
          </w:p>
          <w:p>
            <w:pPr>
              <w:keepNext w:val="0"/>
              <w:keepLines w:val="0"/>
              <w:suppressLineNumbers w:val="0"/>
              <w:spacing w:before="0" w:beforeAutospacing="0" w:after="0" w:afterAutospacing="0" w:line="240" w:lineRule="exact"/>
              <w:ind w:left="0" w:right="0"/>
              <w:rPr>
                <w:rFonts w:ascii="宋体" w:hAnsi="宋体"/>
                <w:szCs w:val="21"/>
              </w:rPr>
            </w:pPr>
            <w:r>
              <w:rPr>
                <w:rFonts w:hint="eastAsia" w:ascii="宋体" w:hAnsi="宋体"/>
                <w:szCs w:val="21"/>
              </w:rPr>
              <w:t>方案基本完善，膳食指导方案基本合理、有一定可行性，得3分；</w:t>
            </w:r>
          </w:p>
          <w:p>
            <w:pPr>
              <w:keepNext w:val="0"/>
              <w:keepLines w:val="0"/>
              <w:suppressLineNumbers w:val="0"/>
              <w:spacing w:before="0" w:beforeAutospacing="0" w:after="0" w:afterAutospacing="0" w:line="240" w:lineRule="exact"/>
              <w:ind w:left="0" w:right="0"/>
              <w:rPr>
                <w:rFonts w:ascii="宋体" w:hAnsi="宋体"/>
                <w:szCs w:val="21"/>
              </w:rPr>
            </w:pPr>
            <w:r>
              <w:rPr>
                <w:rFonts w:hint="eastAsia" w:ascii="宋体" w:hAnsi="宋体"/>
                <w:szCs w:val="21"/>
              </w:rPr>
              <w:t>方案简单或膳食指导方案欠缺合理性或可行性差，得1分；</w:t>
            </w:r>
          </w:p>
          <w:p>
            <w:pPr>
              <w:keepNext w:val="0"/>
              <w:keepLines w:val="0"/>
              <w:suppressLineNumbers w:val="0"/>
              <w:spacing w:before="0" w:beforeAutospacing="0" w:after="0" w:afterAutospacing="0" w:line="240" w:lineRule="exact"/>
              <w:ind w:left="0" w:right="0"/>
              <w:rPr>
                <w:rFonts w:ascii="宋体" w:hAnsi="宋体"/>
                <w:szCs w:val="21"/>
              </w:rPr>
            </w:pPr>
            <w:r>
              <w:rPr>
                <w:rFonts w:hint="eastAsia" w:ascii="宋体" w:hAnsi="宋体"/>
                <w:szCs w:val="21"/>
              </w:rPr>
              <w:t>不提供不得分</w:t>
            </w:r>
          </w:p>
        </w:tc>
        <w:tc>
          <w:tcPr>
            <w:tcW w:w="709" w:type="dxa"/>
            <w:vAlign w:val="center"/>
          </w:tcPr>
          <w:p>
            <w:pPr>
              <w:keepNext w:val="0"/>
              <w:keepLines w:val="0"/>
              <w:suppressLineNumbers w:val="0"/>
              <w:snapToGrid w:val="0"/>
              <w:spacing w:before="0" w:beforeAutospacing="0" w:after="0" w:afterAutospacing="0" w:line="240" w:lineRule="exact"/>
              <w:ind w:left="0" w:right="0"/>
              <w:jc w:val="center"/>
              <w:rPr>
                <w:rFonts w:ascii="宋体" w:hAnsi="宋体"/>
                <w:szCs w:val="21"/>
              </w:rPr>
            </w:pPr>
            <w:r>
              <w:rPr>
                <w:rFonts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5" w:type="dxa"/>
            <w:vAlign w:val="center"/>
          </w:tcPr>
          <w:p>
            <w:pPr>
              <w:keepNext w:val="0"/>
              <w:keepLines w:val="0"/>
              <w:widowControl/>
              <w:suppressLineNumbers w:val="0"/>
              <w:spacing w:before="0" w:beforeAutospacing="0" w:after="0" w:afterAutospacing="0" w:line="240" w:lineRule="exact"/>
              <w:ind w:left="0" w:right="0"/>
              <w:jc w:val="center"/>
              <w:rPr>
                <w:rFonts w:ascii="宋体" w:hAnsi="宋体"/>
                <w:bCs/>
                <w:szCs w:val="21"/>
              </w:rPr>
            </w:pPr>
            <w:r>
              <w:rPr>
                <w:rFonts w:hint="eastAsia" w:ascii="宋体" w:hAnsi="宋体" w:cs="宋体"/>
                <w:kern w:val="0"/>
                <w:szCs w:val="21"/>
              </w:rPr>
              <w:t>食品安全管理方案</w:t>
            </w:r>
          </w:p>
        </w:tc>
        <w:tc>
          <w:tcPr>
            <w:tcW w:w="7796" w:type="dxa"/>
            <w:vAlign w:val="center"/>
          </w:tcPr>
          <w:p>
            <w:pPr>
              <w:keepNext w:val="0"/>
              <w:keepLines w:val="0"/>
              <w:suppressLineNumbers w:val="0"/>
              <w:spacing w:before="0" w:beforeAutospacing="0" w:after="0" w:afterAutospacing="0" w:line="240" w:lineRule="exact"/>
              <w:ind w:left="0" w:right="0"/>
              <w:rPr>
                <w:rFonts w:ascii="宋体" w:hAnsi="宋体"/>
                <w:szCs w:val="21"/>
              </w:rPr>
            </w:pPr>
            <w:r>
              <w:rPr>
                <w:rFonts w:hint="eastAsia" w:ascii="宋体" w:hAnsi="宋体"/>
                <w:szCs w:val="21"/>
              </w:rPr>
              <w:t>根据投标人提供的食品安全管理方案（包括食品的来源、保存、运输各环节的安全管理、各项食品安全管理）进行评审：</w:t>
            </w:r>
          </w:p>
          <w:p>
            <w:pPr>
              <w:keepNext w:val="0"/>
              <w:keepLines w:val="0"/>
              <w:suppressLineNumbers w:val="0"/>
              <w:spacing w:before="0" w:beforeAutospacing="0" w:after="0" w:afterAutospacing="0" w:line="240" w:lineRule="exact"/>
              <w:ind w:left="0" w:right="0"/>
              <w:rPr>
                <w:rFonts w:ascii="宋体" w:hAnsi="宋体"/>
                <w:szCs w:val="21"/>
              </w:rPr>
            </w:pPr>
            <w:r>
              <w:rPr>
                <w:rFonts w:hint="eastAsia" w:ascii="宋体" w:hAnsi="宋体"/>
                <w:szCs w:val="21"/>
              </w:rPr>
              <w:t>方案全面完善、科学合理、可行性强，得</w:t>
            </w:r>
            <w:r>
              <w:rPr>
                <w:rFonts w:ascii="宋体" w:hAnsi="宋体"/>
                <w:szCs w:val="21"/>
              </w:rPr>
              <w:t>8</w:t>
            </w:r>
            <w:r>
              <w:rPr>
                <w:rFonts w:hint="eastAsia" w:ascii="宋体" w:hAnsi="宋体"/>
                <w:szCs w:val="21"/>
              </w:rPr>
              <w:t>分；</w:t>
            </w:r>
          </w:p>
          <w:p>
            <w:pPr>
              <w:keepNext w:val="0"/>
              <w:keepLines w:val="0"/>
              <w:suppressLineNumbers w:val="0"/>
              <w:spacing w:before="0" w:beforeAutospacing="0" w:after="0" w:afterAutospacing="0" w:line="240" w:lineRule="exact"/>
              <w:ind w:left="0" w:right="0"/>
              <w:rPr>
                <w:rFonts w:ascii="宋体" w:hAnsi="宋体"/>
                <w:szCs w:val="21"/>
              </w:rPr>
            </w:pPr>
            <w:r>
              <w:rPr>
                <w:rFonts w:hint="eastAsia" w:ascii="宋体" w:hAnsi="宋体"/>
                <w:szCs w:val="21"/>
              </w:rPr>
              <w:t>方案较完善、较合理、可行性较强，得</w:t>
            </w:r>
            <w:r>
              <w:rPr>
                <w:rFonts w:ascii="宋体" w:hAnsi="宋体"/>
                <w:szCs w:val="21"/>
              </w:rPr>
              <w:t>6</w:t>
            </w:r>
            <w:r>
              <w:rPr>
                <w:rFonts w:hint="eastAsia" w:ascii="宋体" w:hAnsi="宋体"/>
                <w:szCs w:val="21"/>
              </w:rPr>
              <w:t>分；</w:t>
            </w:r>
          </w:p>
          <w:p>
            <w:pPr>
              <w:keepNext w:val="0"/>
              <w:keepLines w:val="0"/>
              <w:suppressLineNumbers w:val="0"/>
              <w:spacing w:before="0" w:beforeAutospacing="0" w:after="0" w:afterAutospacing="0" w:line="240" w:lineRule="exact"/>
              <w:ind w:left="0" w:right="0"/>
              <w:rPr>
                <w:rFonts w:ascii="宋体" w:hAnsi="宋体"/>
                <w:szCs w:val="21"/>
              </w:rPr>
            </w:pPr>
            <w:r>
              <w:rPr>
                <w:rFonts w:hint="eastAsia" w:ascii="宋体" w:hAnsi="宋体"/>
                <w:szCs w:val="21"/>
              </w:rPr>
              <w:t>方案基本完善，基本合理、有一定可行性，得3分；</w:t>
            </w:r>
          </w:p>
          <w:p>
            <w:pPr>
              <w:keepNext w:val="0"/>
              <w:keepLines w:val="0"/>
              <w:suppressLineNumbers w:val="0"/>
              <w:spacing w:before="0" w:beforeAutospacing="0" w:after="0" w:afterAutospacing="0" w:line="240" w:lineRule="exact"/>
              <w:ind w:left="0" w:right="0"/>
              <w:rPr>
                <w:rFonts w:ascii="宋体" w:hAnsi="宋体"/>
                <w:szCs w:val="21"/>
              </w:rPr>
            </w:pPr>
            <w:r>
              <w:rPr>
                <w:rFonts w:hint="eastAsia" w:ascii="宋体" w:hAnsi="宋体"/>
                <w:szCs w:val="21"/>
              </w:rPr>
              <w:t>方案简单或欠缺合理性或可行性差，得1分；</w:t>
            </w:r>
          </w:p>
          <w:p>
            <w:pPr>
              <w:keepNext w:val="0"/>
              <w:keepLines w:val="0"/>
              <w:suppressLineNumbers w:val="0"/>
              <w:spacing w:before="0" w:beforeAutospacing="0" w:after="0" w:afterAutospacing="0" w:line="240" w:lineRule="exact"/>
              <w:ind w:left="0" w:right="0"/>
              <w:rPr>
                <w:rFonts w:ascii="宋体" w:hAnsi="宋体" w:cs="宋体"/>
                <w:szCs w:val="21"/>
              </w:rPr>
            </w:pPr>
            <w:r>
              <w:rPr>
                <w:rFonts w:hint="eastAsia" w:ascii="宋体" w:hAnsi="宋体"/>
                <w:szCs w:val="21"/>
              </w:rPr>
              <w:t>不提供不得分</w:t>
            </w:r>
          </w:p>
        </w:tc>
        <w:tc>
          <w:tcPr>
            <w:tcW w:w="709" w:type="dxa"/>
            <w:vAlign w:val="center"/>
          </w:tcPr>
          <w:p>
            <w:pPr>
              <w:keepNext w:val="0"/>
              <w:keepLines w:val="0"/>
              <w:suppressLineNumbers w:val="0"/>
              <w:spacing w:before="0" w:beforeAutospacing="0" w:after="0" w:afterAutospacing="0" w:line="240" w:lineRule="exact"/>
              <w:ind w:left="0" w:right="0"/>
              <w:jc w:val="center"/>
              <w:rPr>
                <w:rFonts w:ascii="宋体" w:hAnsi="宋体"/>
                <w:szCs w:val="21"/>
              </w:rPr>
            </w:pPr>
            <w:r>
              <w:rPr>
                <w:rFonts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5" w:type="dxa"/>
            <w:vAlign w:val="center"/>
          </w:tcPr>
          <w:p>
            <w:pPr>
              <w:keepNext w:val="0"/>
              <w:keepLines w:val="0"/>
              <w:suppressLineNumbers w:val="0"/>
              <w:spacing w:before="0" w:beforeAutospacing="0" w:after="0" w:afterAutospacing="0" w:line="240" w:lineRule="exact"/>
              <w:ind w:left="-78" w:leftChars="-37" w:right="-73" w:rightChars="-35"/>
              <w:jc w:val="center"/>
              <w:rPr>
                <w:rFonts w:ascii="宋体" w:hAnsi="宋体" w:cs="宋体"/>
                <w:szCs w:val="21"/>
              </w:rPr>
            </w:pPr>
            <w:r>
              <w:rPr>
                <w:szCs w:val="22"/>
              </w:rPr>
              <w:t>饭堂投入改造及设备保障方案</w:t>
            </w:r>
          </w:p>
        </w:tc>
        <w:tc>
          <w:tcPr>
            <w:tcW w:w="7796" w:type="dxa"/>
            <w:vAlign w:val="center"/>
          </w:tcPr>
          <w:p>
            <w:pPr>
              <w:keepNext w:val="0"/>
              <w:keepLines w:val="0"/>
              <w:suppressLineNumbers w:val="0"/>
              <w:spacing w:before="0" w:beforeAutospacing="0" w:after="0" w:afterAutospacing="0" w:line="240" w:lineRule="exact"/>
              <w:ind w:left="0" w:right="0"/>
              <w:rPr>
                <w:rFonts w:ascii="宋体" w:hAnsi="宋体" w:cs="宋体"/>
                <w:szCs w:val="21"/>
              </w:rPr>
            </w:pPr>
            <w:r>
              <w:rPr>
                <w:rFonts w:hint="eastAsia" w:ascii="宋体" w:hAnsi="宋体"/>
                <w:szCs w:val="21"/>
              </w:rPr>
              <w:t>根据投标人提供的</w:t>
            </w:r>
            <w:r>
              <w:rPr>
                <w:szCs w:val="22"/>
              </w:rPr>
              <w:t>饭堂投入改造及设备保障方案</w:t>
            </w:r>
            <w:r>
              <w:rPr>
                <w:rFonts w:hint="eastAsia" w:ascii="宋体" w:hAnsi="宋体"/>
                <w:szCs w:val="21"/>
              </w:rPr>
              <w:t>进行评审：</w:t>
            </w:r>
          </w:p>
          <w:p>
            <w:pPr>
              <w:keepNext w:val="0"/>
              <w:keepLines w:val="0"/>
              <w:suppressLineNumbers w:val="0"/>
              <w:spacing w:before="0" w:beforeAutospacing="0" w:after="0" w:afterAutospacing="0" w:line="240" w:lineRule="exact"/>
              <w:ind w:left="0" w:right="0"/>
              <w:rPr>
                <w:rFonts w:ascii="宋体" w:hAnsi="宋体"/>
                <w:szCs w:val="21"/>
              </w:rPr>
            </w:pPr>
            <w:r>
              <w:rPr>
                <w:rFonts w:hint="eastAsia" w:ascii="宋体" w:hAnsi="宋体"/>
                <w:szCs w:val="21"/>
              </w:rPr>
              <w:t>方案全面完善、科学合理、可操作性强，得</w:t>
            </w:r>
            <w:r>
              <w:rPr>
                <w:rFonts w:ascii="宋体" w:hAnsi="宋体"/>
                <w:szCs w:val="21"/>
              </w:rPr>
              <w:t>5</w:t>
            </w:r>
            <w:r>
              <w:rPr>
                <w:rFonts w:hint="eastAsia" w:ascii="宋体" w:hAnsi="宋体"/>
                <w:szCs w:val="21"/>
              </w:rPr>
              <w:t>分；</w:t>
            </w:r>
          </w:p>
          <w:p>
            <w:pPr>
              <w:keepNext w:val="0"/>
              <w:keepLines w:val="0"/>
              <w:suppressLineNumbers w:val="0"/>
              <w:spacing w:before="0" w:beforeAutospacing="0" w:after="0" w:afterAutospacing="0" w:line="240" w:lineRule="exact"/>
              <w:ind w:left="0" w:right="0"/>
              <w:rPr>
                <w:rFonts w:ascii="宋体" w:hAnsi="宋体"/>
                <w:szCs w:val="21"/>
              </w:rPr>
            </w:pPr>
            <w:r>
              <w:rPr>
                <w:rFonts w:hint="eastAsia" w:ascii="宋体" w:hAnsi="宋体"/>
                <w:szCs w:val="21"/>
              </w:rPr>
              <w:t>方案较完善、较合理、可操作性较强，得3分；</w:t>
            </w:r>
          </w:p>
          <w:p>
            <w:pPr>
              <w:keepNext w:val="0"/>
              <w:keepLines w:val="0"/>
              <w:suppressLineNumbers w:val="0"/>
              <w:spacing w:before="0" w:beforeAutospacing="0" w:after="0" w:afterAutospacing="0" w:line="240" w:lineRule="exact"/>
              <w:ind w:left="0" w:right="0"/>
              <w:rPr>
                <w:rFonts w:ascii="宋体" w:hAnsi="宋体"/>
                <w:szCs w:val="21"/>
              </w:rPr>
            </w:pPr>
            <w:r>
              <w:rPr>
                <w:rFonts w:hint="eastAsia" w:ascii="宋体" w:hAnsi="宋体"/>
                <w:szCs w:val="21"/>
              </w:rPr>
              <w:t>方案基本完善，基本合理、有一定可操作性，得2分；</w:t>
            </w:r>
          </w:p>
          <w:p>
            <w:pPr>
              <w:keepNext w:val="0"/>
              <w:keepLines w:val="0"/>
              <w:suppressLineNumbers w:val="0"/>
              <w:spacing w:before="0" w:beforeAutospacing="0" w:after="0" w:afterAutospacing="0" w:line="240" w:lineRule="exact"/>
              <w:ind w:left="0" w:right="0"/>
              <w:rPr>
                <w:rFonts w:ascii="宋体" w:hAnsi="宋体"/>
                <w:szCs w:val="21"/>
              </w:rPr>
            </w:pPr>
            <w:r>
              <w:rPr>
                <w:rFonts w:hint="eastAsia" w:ascii="宋体" w:hAnsi="宋体"/>
                <w:szCs w:val="21"/>
              </w:rPr>
              <w:t>方案简单或欠缺合理性或可操作性差，得1分；</w:t>
            </w:r>
          </w:p>
          <w:p>
            <w:pPr>
              <w:keepNext w:val="0"/>
              <w:keepLines w:val="0"/>
              <w:suppressLineNumbers w:val="0"/>
              <w:spacing w:before="0" w:beforeAutospacing="0" w:after="0" w:afterAutospacing="0" w:line="240" w:lineRule="exact"/>
              <w:ind w:left="0" w:right="0"/>
              <w:rPr>
                <w:rFonts w:ascii="宋体" w:hAnsi="宋体" w:cs="宋体"/>
                <w:szCs w:val="21"/>
              </w:rPr>
            </w:pPr>
            <w:r>
              <w:rPr>
                <w:rFonts w:hint="eastAsia" w:ascii="宋体" w:hAnsi="宋体"/>
                <w:szCs w:val="21"/>
              </w:rPr>
              <w:t>不提供不得分。</w:t>
            </w:r>
          </w:p>
        </w:tc>
        <w:tc>
          <w:tcPr>
            <w:tcW w:w="709" w:type="dxa"/>
            <w:vAlign w:val="center"/>
          </w:tcPr>
          <w:p>
            <w:pPr>
              <w:keepNext w:val="0"/>
              <w:keepLines w:val="0"/>
              <w:suppressLineNumbers w:val="0"/>
              <w:spacing w:before="0" w:beforeAutospacing="0" w:after="0" w:afterAutospacing="0" w:line="240" w:lineRule="exact"/>
              <w:ind w:left="0" w:right="0"/>
              <w:jc w:val="cente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5" w:type="dxa"/>
            <w:vAlign w:val="center"/>
          </w:tcPr>
          <w:p>
            <w:pPr>
              <w:keepNext w:val="0"/>
              <w:keepLines w:val="0"/>
              <w:widowControl/>
              <w:suppressLineNumbers w:val="0"/>
              <w:spacing w:before="0" w:beforeAutospacing="0" w:after="0" w:afterAutospacing="0" w:line="240" w:lineRule="exact"/>
              <w:ind w:left="0" w:right="0"/>
              <w:jc w:val="center"/>
              <w:rPr>
                <w:rFonts w:ascii="宋体" w:hAnsi="宋体" w:cs="仿宋"/>
                <w:kern w:val="0"/>
                <w:szCs w:val="21"/>
              </w:rPr>
            </w:pPr>
            <w:r>
              <w:rPr>
                <w:rFonts w:hint="eastAsia" w:ascii="宋体" w:hAnsi="宋体"/>
                <w:bCs/>
                <w:szCs w:val="21"/>
              </w:rPr>
              <w:t>应急保障方案</w:t>
            </w:r>
          </w:p>
        </w:tc>
        <w:tc>
          <w:tcPr>
            <w:tcW w:w="7796" w:type="dxa"/>
            <w:vAlign w:val="center"/>
          </w:tcPr>
          <w:p>
            <w:pPr>
              <w:keepNext w:val="0"/>
              <w:keepLines w:val="0"/>
              <w:suppressLineNumbers w:val="0"/>
              <w:spacing w:before="0" w:beforeAutospacing="0" w:after="0" w:afterAutospacing="0" w:line="240" w:lineRule="exact"/>
              <w:ind w:left="0" w:right="0"/>
              <w:rPr>
                <w:rFonts w:ascii="宋体" w:hAnsi="宋体"/>
                <w:szCs w:val="21"/>
              </w:rPr>
            </w:pPr>
            <w:r>
              <w:rPr>
                <w:rFonts w:hint="eastAsia" w:ascii="宋体" w:hAnsi="宋体"/>
                <w:szCs w:val="21"/>
              </w:rPr>
              <w:t>根据投标人提供的应急保障方案（</w:t>
            </w:r>
            <w:r>
              <w:rPr>
                <w:rFonts w:ascii="宋体" w:hAnsi="宋体"/>
                <w:szCs w:val="21"/>
              </w:rPr>
              <w:t>包括但不限于食物中毒应急方案、厨房突发性事件、停水、停电，流行性疾病、疫情防控等应急方案等），对突发事件有预防预控措施、保障保证措施、事件应急处理措施、事件善后措施等</w:t>
            </w:r>
            <w:r>
              <w:rPr>
                <w:rFonts w:hint="eastAsia" w:ascii="宋体" w:hAnsi="宋体"/>
                <w:szCs w:val="21"/>
              </w:rPr>
              <w:t>进行评审：</w:t>
            </w:r>
          </w:p>
          <w:p>
            <w:pPr>
              <w:keepNext w:val="0"/>
              <w:keepLines w:val="0"/>
              <w:suppressLineNumbers w:val="0"/>
              <w:spacing w:before="0" w:beforeAutospacing="0" w:after="0" w:afterAutospacing="0" w:line="240" w:lineRule="exact"/>
              <w:ind w:left="0" w:right="0"/>
              <w:rPr>
                <w:rFonts w:ascii="宋体" w:hAnsi="宋体"/>
                <w:szCs w:val="21"/>
              </w:rPr>
            </w:pPr>
            <w:r>
              <w:rPr>
                <w:rFonts w:hint="eastAsia" w:ascii="宋体" w:hAnsi="宋体"/>
                <w:szCs w:val="21"/>
              </w:rPr>
              <w:t>方案全面完善、科学合理、可行性强，得</w:t>
            </w:r>
            <w:r>
              <w:rPr>
                <w:rFonts w:ascii="宋体" w:hAnsi="宋体"/>
                <w:szCs w:val="21"/>
              </w:rPr>
              <w:t>5</w:t>
            </w:r>
            <w:r>
              <w:rPr>
                <w:rFonts w:hint="eastAsia" w:ascii="宋体" w:hAnsi="宋体"/>
                <w:szCs w:val="21"/>
              </w:rPr>
              <w:t>分；</w:t>
            </w:r>
          </w:p>
          <w:p>
            <w:pPr>
              <w:keepNext w:val="0"/>
              <w:keepLines w:val="0"/>
              <w:suppressLineNumbers w:val="0"/>
              <w:spacing w:before="0" w:beforeAutospacing="0" w:after="0" w:afterAutospacing="0" w:line="240" w:lineRule="exact"/>
              <w:ind w:left="0" w:right="0"/>
              <w:rPr>
                <w:rFonts w:ascii="宋体" w:hAnsi="宋体"/>
                <w:szCs w:val="21"/>
              </w:rPr>
            </w:pPr>
            <w:r>
              <w:rPr>
                <w:rFonts w:hint="eastAsia" w:ascii="宋体" w:hAnsi="宋体"/>
                <w:szCs w:val="21"/>
              </w:rPr>
              <w:t>方案较完善、较合理、可行性较强，得3分；</w:t>
            </w:r>
          </w:p>
          <w:p>
            <w:pPr>
              <w:keepNext w:val="0"/>
              <w:keepLines w:val="0"/>
              <w:suppressLineNumbers w:val="0"/>
              <w:spacing w:before="0" w:beforeAutospacing="0" w:after="0" w:afterAutospacing="0" w:line="240" w:lineRule="exact"/>
              <w:ind w:left="0" w:right="0"/>
              <w:rPr>
                <w:rFonts w:ascii="宋体" w:hAnsi="宋体"/>
                <w:szCs w:val="21"/>
              </w:rPr>
            </w:pPr>
            <w:r>
              <w:rPr>
                <w:rFonts w:hint="eastAsia" w:ascii="宋体" w:hAnsi="宋体"/>
                <w:szCs w:val="21"/>
              </w:rPr>
              <w:t>方案基本完善，基本合理、有一定可行性，得2分；</w:t>
            </w:r>
          </w:p>
          <w:p>
            <w:pPr>
              <w:keepNext w:val="0"/>
              <w:keepLines w:val="0"/>
              <w:suppressLineNumbers w:val="0"/>
              <w:spacing w:before="0" w:beforeAutospacing="0" w:after="0" w:afterAutospacing="0" w:line="240" w:lineRule="exact"/>
              <w:ind w:left="0" w:right="0"/>
              <w:rPr>
                <w:rFonts w:ascii="宋体" w:hAnsi="宋体"/>
                <w:szCs w:val="21"/>
              </w:rPr>
            </w:pPr>
            <w:r>
              <w:rPr>
                <w:rFonts w:hint="eastAsia" w:ascii="宋体" w:hAnsi="宋体"/>
                <w:szCs w:val="21"/>
              </w:rPr>
              <w:t>方案简单或欠缺合理性或可行性差，得1分；</w:t>
            </w:r>
          </w:p>
          <w:p>
            <w:pPr>
              <w:keepNext w:val="0"/>
              <w:keepLines w:val="0"/>
              <w:suppressLineNumbers w:val="0"/>
              <w:spacing w:before="0" w:beforeAutospacing="0" w:after="0" w:afterAutospacing="0" w:line="240" w:lineRule="exact"/>
              <w:ind w:left="0" w:right="0"/>
              <w:rPr>
                <w:rFonts w:ascii="宋体" w:hAnsi="宋体" w:cs="宋体"/>
                <w:szCs w:val="21"/>
              </w:rPr>
            </w:pPr>
            <w:r>
              <w:rPr>
                <w:rFonts w:hint="eastAsia" w:ascii="宋体" w:hAnsi="宋体"/>
                <w:szCs w:val="21"/>
              </w:rPr>
              <w:t>不提供或其他不得分</w:t>
            </w:r>
          </w:p>
        </w:tc>
        <w:tc>
          <w:tcPr>
            <w:tcW w:w="709" w:type="dxa"/>
            <w:vAlign w:val="center"/>
          </w:tcPr>
          <w:p>
            <w:pPr>
              <w:keepNext w:val="0"/>
              <w:keepLines w:val="0"/>
              <w:suppressLineNumbers w:val="0"/>
              <w:spacing w:before="0" w:beforeAutospacing="0" w:after="0" w:afterAutospacing="0" w:line="240" w:lineRule="exact"/>
              <w:ind w:left="0" w:right="0"/>
              <w:jc w:val="cente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5" w:type="dxa"/>
            <w:vAlign w:val="center"/>
          </w:tcPr>
          <w:p>
            <w:pPr>
              <w:keepNext w:val="0"/>
              <w:keepLines w:val="0"/>
              <w:suppressLineNumbers w:val="0"/>
              <w:spacing w:before="0" w:beforeAutospacing="0" w:after="0" w:afterAutospacing="0" w:line="240" w:lineRule="exact"/>
              <w:ind w:left="0" w:right="0"/>
              <w:jc w:val="center"/>
              <w:rPr>
                <w:rFonts w:ascii="宋体" w:hAnsi="宋体"/>
                <w:bCs/>
                <w:szCs w:val="21"/>
              </w:rPr>
            </w:pPr>
            <w:r>
              <w:rPr>
                <w:rFonts w:hint="eastAsia" w:ascii="宋体" w:hAnsi="宋体" w:cs="宋体"/>
                <w:szCs w:val="21"/>
              </w:rPr>
              <w:t>饭堂改造方案</w:t>
            </w:r>
          </w:p>
        </w:tc>
        <w:tc>
          <w:tcPr>
            <w:tcW w:w="7796" w:type="dxa"/>
            <w:vAlign w:val="center"/>
          </w:tcPr>
          <w:p>
            <w:pPr>
              <w:keepNext w:val="0"/>
              <w:keepLines w:val="0"/>
              <w:suppressLineNumbers w:val="0"/>
              <w:spacing w:before="0" w:beforeAutospacing="0" w:after="0" w:afterAutospacing="0" w:line="240" w:lineRule="exact"/>
              <w:ind w:left="0" w:right="0"/>
              <w:rPr>
                <w:rFonts w:ascii="宋体" w:hAnsi="宋体" w:cs="宋体"/>
                <w:szCs w:val="21"/>
              </w:rPr>
            </w:pPr>
            <w:r>
              <w:rPr>
                <w:rFonts w:ascii="宋体" w:hAnsi="宋体" w:cs="宋体"/>
                <w:szCs w:val="21"/>
              </w:rPr>
              <w:t>根据投标人提供的饭堂改造方案</w:t>
            </w:r>
            <w:r>
              <w:rPr>
                <w:rFonts w:hint="eastAsia" w:ascii="宋体" w:hAnsi="宋体" w:cs="宋体"/>
                <w:szCs w:val="21"/>
              </w:rPr>
              <w:t>（</w:t>
            </w:r>
            <w:r>
              <w:rPr>
                <w:rFonts w:ascii="宋体" w:hAnsi="宋体" w:cs="宋体"/>
                <w:szCs w:val="21"/>
              </w:rPr>
              <w:t>方案</w:t>
            </w:r>
            <w:r>
              <w:rPr>
                <w:rFonts w:hint="eastAsia" w:ascii="宋体" w:hAnsi="宋体" w:cs="宋体"/>
                <w:szCs w:val="21"/>
              </w:rPr>
              <w:t>必须包含对院本部及第七人民医院饭堂厨房及就餐区域的改造和环境提升内容）</w:t>
            </w:r>
            <w:r>
              <w:rPr>
                <w:rFonts w:ascii="宋体" w:hAnsi="宋体" w:cs="宋体"/>
                <w:szCs w:val="21"/>
              </w:rPr>
              <w:t>进行评审：</w:t>
            </w:r>
          </w:p>
          <w:p>
            <w:pPr>
              <w:keepNext w:val="0"/>
              <w:keepLines w:val="0"/>
              <w:suppressLineNumbers w:val="0"/>
              <w:spacing w:before="0" w:beforeAutospacing="0" w:after="0" w:afterAutospacing="0" w:line="240" w:lineRule="exact"/>
              <w:ind w:left="0" w:right="0"/>
              <w:rPr>
                <w:rFonts w:ascii="宋体" w:hAnsi="宋体"/>
                <w:szCs w:val="21"/>
              </w:rPr>
            </w:pPr>
            <w:r>
              <w:rPr>
                <w:rFonts w:hint="eastAsia" w:ascii="宋体" w:hAnsi="宋体"/>
                <w:szCs w:val="21"/>
              </w:rPr>
              <w:t>方案全面完善、科学合理、可行性强，得</w:t>
            </w:r>
            <w:r>
              <w:rPr>
                <w:rFonts w:ascii="宋体" w:hAnsi="宋体"/>
                <w:szCs w:val="21"/>
              </w:rPr>
              <w:t>12</w:t>
            </w:r>
            <w:r>
              <w:rPr>
                <w:rFonts w:hint="eastAsia" w:ascii="宋体" w:hAnsi="宋体"/>
                <w:szCs w:val="21"/>
              </w:rPr>
              <w:t>分；</w:t>
            </w:r>
          </w:p>
          <w:p>
            <w:pPr>
              <w:keepNext w:val="0"/>
              <w:keepLines w:val="0"/>
              <w:suppressLineNumbers w:val="0"/>
              <w:spacing w:before="0" w:beforeAutospacing="0" w:after="0" w:afterAutospacing="0" w:line="240" w:lineRule="exact"/>
              <w:ind w:left="0" w:right="0"/>
              <w:rPr>
                <w:rFonts w:ascii="宋体" w:hAnsi="宋体"/>
                <w:szCs w:val="21"/>
              </w:rPr>
            </w:pPr>
            <w:r>
              <w:rPr>
                <w:rFonts w:hint="eastAsia" w:ascii="宋体" w:hAnsi="宋体"/>
                <w:szCs w:val="21"/>
              </w:rPr>
              <w:t>方案较完善、较合理、可行性较强，得</w:t>
            </w:r>
            <w:r>
              <w:rPr>
                <w:rFonts w:ascii="宋体" w:hAnsi="宋体"/>
                <w:szCs w:val="21"/>
              </w:rPr>
              <w:t>8</w:t>
            </w:r>
            <w:r>
              <w:rPr>
                <w:rFonts w:hint="eastAsia" w:ascii="宋体" w:hAnsi="宋体"/>
                <w:szCs w:val="21"/>
              </w:rPr>
              <w:t>分；</w:t>
            </w:r>
          </w:p>
          <w:p>
            <w:pPr>
              <w:keepNext w:val="0"/>
              <w:keepLines w:val="0"/>
              <w:suppressLineNumbers w:val="0"/>
              <w:spacing w:before="0" w:beforeAutospacing="0" w:after="0" w:afterAutospacing="0" w:line="240" w:lineRule="exact"/>
              <w:ind w:left="0" w:right="0"/>
              <w:rPr>
                <w:rFonts w:ascii="宋体" w:hAnsi="宋体"/>
                <w:szCs w:val="21"/>
              </w:rPr>
            </w:pPr>
            <w:r>
              <w:rPr>
                <w:rFonts w:hint="eastAsia" w:ascii="宋体" w:hAnsi="宋体"/>
                <w:szCs w:val="21"/>
              </w:rPr>
              <w:t>方案基本完善，基本合理、有一定可行性，得4分；</w:t>
            </w:r>
          </w:p>
          <w:p>
            <w:pPr>
              <w:keepNext w:val="0"/>
              <w:keepLines w:val="0"/>
              <w:suppressLineNumbers w:val="0"/>
              <w:spacing w:before="0" w:beforeAutospacing="0" w:after="0" w:afterAutospacing="0" w:line="240" w:lineRule="exact"/>
              <w:ind w:left="0" w:right="0"/>
              <w:rPr>
                <w:rFonts w:ascii="宋体" w:hAnsi="宋体"/>
                <w:szCs w:val="21"/>
              </w:rPr>
            </w:pPr>
            <w:r>
              <w:rPr>
                <w:rFonts w:hint="eastAsia" w:ascii="宋体" w:hAnsi="宋体"/>
                <w:szCs w:val="21"/>
              </w:rPr>
              <w:t>方案简单或欠缺合理性或可行性差，得1分；</w:t>
            </w:r>
          </w:p>
          <w:p>
            <w:pPr>
              <w:keepNext w:val="0"/>
              <w:keepLines w:val="0"/>
              <w:suppressLineNumbers w:val="0"/>
              <w:spacing w:before="0" w:beforeAutospacing="0" w:after="0" w:afterAutospacing="0" w:line="240" w:lineRule="exact"/>
              <w:ind w:left="0" w:right="0"/>
              <w:rPr>
                <w:rFonts w:ascii="宋体" w:hAnsi="宋体" w:cs="宋体"/>
                <w:szCs w:val="21"/>
              </w:rPr>
            </w:pPr>
            <w:r>
              <w:rPr>
                <w:rFonts w:hint="eastAsia" w:ascii="宋体" w:hAnsi="宋体"/>
                <w:szCs w:val="21"/>
              </w:rPr>
              <w:t>不提供或其他不得分</w:t>
            </w:r>
          </w:p>
        </w:tc>
        <w:tc>
          <w:tcPr>
            <w:tcW w:w="709" w:type="dxa"/>
            <w:vAlign w:val="center"/>
          </w:tcPr>
          <w:p>
            <w:pPr>
              <w:keepNext w:val="0"/>
              <w:keepLines w:val="0"/>
              <w:suppressLineNumbers w:val="0"/>
              <w:spacing w:before="0" w:beforeAutospacing="0" w:after="0" w:afterAutospacing="0" w:line="240" w:lineRule="exact"/>
              <w:ind w:left="0" w:right="0"/>
              <w:jc w:val="center"/>
              <w:rPr>
                <w:rFonts w:ascii="宋体" w:hAnsi="宋体"/>
                <w:szCs w:val="21"/>
              </w:rPr>
            </w:pPr>
            <w:r>
              <w:rPr>
                <w:rFonts w:ascii="宋体" w:hAnsi="宋体"/>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5" w:type="dxa"/>
            <w:vAlign w:val="center"/>
          </w:tcPr>
          <w:p>
            <w:pPr>
              <w:keepNext w:val="0"/>
              <w:keepLines w:val="0"/>
              <w:suppressLineNumbers w:val="0"/>
              <w:spacing w:before="0" w:beforeAutospacing="0" w:after="0" w:afterAutospacing="0" w:line="240" w:lineRule="exact"/>
              <w:ind w:left="0" w:right="0"/>
              <w:jc w:val="center"/>
              <w:rPr>
                <w:rFonts w:ascii="宋体" w:hAnsi="宋体"/>
                <w:bCs/>
                <w:szCs w:val="21"/>
              </w:rPr>
            </w:pPr>
            <w:r>
              <w:rPr>
                <w:rFonts w:hint="eastAsia" w:ascii="宋体" w:hAnsi="宋体" w:cs="宋体"/>
                <w:szCs w:val="21"/>
              </w:rPr>
              <w:t>信息化服务方案</w:t>
            </w:r>
          </w:p>
        </w:tc>
        <w:tc>
          <w:tcPr>
            <w:tcW w:w="7796" w:type="dxa"/>
            <w:vAlign w:val="center"/>
          </w:tcPr>
          <w:p>
            <w:pPr>
              <w:keepNext w:val="0"/>
              <w:keepLines w:val="0"/>
              <w:suppressLineNumbers w:val="0"/>
              <w:spacing w:before="0" w:beforeAutospacing="0" w:after="0" w:afterAutospacing="0" w:line="240" w:lineRule="exact"/>
              <w:ind w:left="0" w:right="0"/>
              <w:rPr>
                <w:rFonts w:ascii="宋体" w:hAnsi="宋体" w:cs="宋体"/>
                <w:szCs w:val="21"/>
              </w:rPr>
            </w:pPr>
            <w:r>
              <w:rPr>
                <w:rFonts w:ascii="宋体" w:hAnsi="宋体" w:cs="宋体"/>
                <w:szCs w:val="21"/>
              </w:rPr>
              <w:t>根据投标人提供的信息化服务方案</w:t>
            </w:r>
            <w:r>
              <w:rPr>
                <w:rFonts w:hint="eastAsia" w:ascii="宋体" w:hAnsi="宋体" w:cs="宋体"/>
                <w:szCs w:val="21"/>
              </w:rPr>
              <w:t>（</w:t>
            </w:r>
            <w:r>
              <w:rPr>
                <w:rFonts w:ascii="宋体" w:hAnsi="宋体" w:cs="宋体"/>
                <w:szCs w:val="21"/>
              </w:rPr>
              <w:t>方案</w:t>
            </w:r>
            <w:r>
              <w:rPr>
                <w:rFonts w:hint="eastAsia" w:ascii="宋体" w:hAnsi="宋体" w:cs="宋体"/>
                <w:szCs w:val="21"/>
              </w:rPr>
              <w:t>必须覆盖院本部及第七人民医院两个院区的包含住院病人一床一码订餐服务及各类员工线上订餐服务</w:t>
            </w:r>
            <w:r>
              <w:rPr>
                <w:rFonts w:ascii="宋体" w:hAnsi="宋体" w:cs="宋体"/>
                <w:szCs w:val="21"/>
              </w:rPr>
              <w:t>内容</w:t>
            </w:r>
            <w:r>
              <w:rPr>
                <w:rFonts w:hint="eastAsia" w:ascii="宋体" w:hAnsi="宋体" w:cs="宋体"/>
                <w:szCs w:val="21"/>
              </w:rPr>
              <w:t>）</w:t>
            </w:r>
            <w:r>
              <w:rPr>
                <w:rFonts w:ascii="宋体" w:hAnsi="宋体" w:cs="宋体"/>
                <w:szCs w:val="21"/>
              </w:rPr>
              <w:t>进行评审：</w:t>
            </w:r>
          </w:p>
          <w:p>
            <w:pPr>
              <w:keepNext w:val="0"/>
              <w:keepLines w:val="0"/>
              <w:suppressLineNumbers w:val="0"/>
              <w:spacing w:before="0" w:beforeAutospacing="0" w:after="0" w:afterAutospacing="0" w:line="240" w:lineRule="exact"/>
              <w:ind w:left="0" w:right="0"/>
              <w:rPr>
                <w:rFonts w:ascii="宋体" w:hAnsi="宋体"/>
                <w:szCs w:val="21"/>
              </w:rPr>
            </w:pPr>
            <w:r>
              <w:rPr>
                <w:rFonts w:hint="eastAsia" w:ascii="宋体" w:hAnsi="宋体"/>
                <w:szCs w:val="21"/>
              </w:rPr>
              <w:t>方案全面完善、科学合理、可行性强，得</w:t>
            </w:r>
            <w:r>
              <w:rPr>
                <w:rFonts w:ascii="宋体" w:hAnsi="宋体"/>
                <w:szCs w:val="21"/>
              </w:rPr>
              <w:t>5</w:t>
            </w:r>
            <w:r>
              <w:rPr>
                <w:rFonts w:hint="eastAsia" w:ascii="宋体" w:hAnsi="宋体"/>
                <w:szCs w:val="21"/>
              </w:rPr>
              <w:t>分；</w:t>
            </w:r>
          </w:p>
          <w:p>
            <w:pPr>
              <w:keepNext w:val="0"/>
              <w:keepLines w:val="0"/>
              <w:suppressLineNumbers w:val="0"/>
              <w:spacing w:before="0" w:beforeAutospacing="0" w:after="0" w:afterAutospacing="0" w:line="240" w:lineRule="exact"/>
              <w:ind w:left="0" w:right="0"/>
              <w:rPr>
                <w:rFonts w:ascii="宋体" w:hAnsi="宋体"/>
                <w:szCs w:val="21"/>
              </w:rPr>
            </w:pPr>
            <w:r>
              <w:rPr>
                <w:rFonts w:hint="eastAsia" w:ascii="宋体" w:hAnsi="宋体"/>
                <w:szCs w:val="21"/>
              </w:rPr>
              <w:t>方案较完善、较合理、可行性较强，得</w:t>
            </w:r>
            <w:r>
              <w:rPr>
                <w:rFonts w:ascii="宋体" w:hAnsi="宋体"/>
                <w:szCs w:val="21"/>
              </w:rPr>
              <w:t>3</w:t>
            </w:r>
            <w:r>
              <w:rPr>
                <w:rFonts w:hint="eastAsia" w:ascii="宋体" w:hAnsi="宋体"/>
                <w:szCs w:val="21"/>
              </w:rPr>
              <w:t>分；</w:t>
            </w:r>
          </w:p>
          <w:p>
            <w:pPr>
              <w:keepNext w:val="0"/>
              <w:keepLines w:val="0"/>
              <w:suppressLineNumbers w:val="0"/>
              <w:spacing w:before="0" w:beforeAutospacing="0" w:after="0" w:afterAutospacing="0" w:line="240" w:lineRule="exact"/>
              <w:ind w:left="0" w:right="0"/>
              <w:rPr>
                <w:rFonts w:ascii="宋体" w:hAnsi="宋体"/>
                <w:szCs w:val="21"/>
              </w:rPr>
            </w:pPr>
            <w:r>
              <w:rPr>
                <w:rFonts w:hint="eastAsia" w:ascii="宋体" w:hAnsi="宋体"/>
                <w:szCs w:val="21"/>
              </w:rPr>
              <w:t>方案基本完善，基本合理、有一定可行性，得</w:t>
            </w:r>
            <w:r>
              <w:rPr>
                <w:rFonts w:ascii="宋体" w:hAnsi="宋体"/>
                <w:szCs w:val="21"/>
              </w:rPr>
              <w:t>2</w:t>
            </w:r>
            <w:r>
              <w:rPr>
                <w:rFonts w:hint="eastAsia" w:ascii="宋体" w:hAnsi="宋体"/>
                <w:szCs w:val="21"/>
              </w:rPr>
              <w:t>分；</w:t>
            </w:r>
          </w:p>
          <w:p>
            <w:pPr>
              <w:keepNext w:val="0"/>
              <w:keepLines w:val="0"/>
              <w:suppressLineNumbers w:val="0"/>
              <w:spacing w:before="0" w:beforeAutospacing="0" w:after="0" w:afterAutospacing="0" w:line="240" w:lineRule="exact"/>
              <w:ind w:left="0" w:right="0"/>
              <w:rPr>
                <w:rFonts w:ascii="宋体" w:hAnsi="宋体"/>
                <w:szCs w:val="21"/>
              </w:rPr>
            </w:pPr>
            <w:r>
              <w:rPr>
                <w:rFonts w:hint="eastAsia" w:ascii="宋体" w:hAnsi="宋体"/>
                <w:szCs w:val="21"/>
              </w:rPr>
              <w:t>方案简单或欠缺合理性或可行性差，得1分；</w:t>
            </w:r>
          </w:p>
          <w:p>
            <w:pPr>
              <w:keepNext w:val="0"/>
              <w:keepLines w:val="0"/>
              <w:suppressLineNumbers w:val="0"/>
              <w:spacing w:before="0" w:beforeAutospacing="0" w:after="0" w:afterAutospacing="0" w:line="240" w:lineRule="exact"/>
              <w:ind w:left="0" w:right="0"/>
              <w:rPr>
                <w:rFonts w:ascii="宋体" w:hAnsi="宋体" w:cs="宋体"/>
                <w:szCs w:val="21"/>
              </w:rPr>
            </w:pPr>
            <w:r>
              <w:rPr>
                <w:rFonts w:hint="eastAsia" w:ascii="宋体" w:hAnsi="宋体"/>
                <w:szCs w:val="21"/>
              </w:rPr>
              <w:t>不提供或其他不得分</w:t>
            </w:r>
          </w:p>
        </w:tc>
        <w:tc>
          <w:tcPr>
            <w:tcW w:w="709" w:type="dxa"/>
            <w:vAlign w:val="center"/>
          </w:tcPr>
          <w:p>
            <w:pPr>
              <w:keepNext w:val="0"/>
              <w:keepLines w:val="0"/>
              <w:suppressLineNumbers w:val="0"/>
              <w:spacing w:before="0" w:beforeAutospacing="0" w:after="0" w:afterAutospacing="0" w:line="240" w:lineRule="exact"/>
              <w:ind w:left="0" w:right="0"/>
              <w:jc w:val="cente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35" w:type="dxa"/>
            <w:vAlign w:val="center"/>
          </w:tcPr>
          <w:p>
            <w:pPr>
              <w:keepNext w:val="0"/>
              <w:keepLines w:val="0"/>
              <w:suppressLineNumbers w:val="0"/>
              <w:spacing w:before="0" w:beforeAutospacing="0" w:after="0" w:afterAutospacing="0" w:line="240" w:lineRule="exact"/>
              <w:ind w:left="0" w:right="0"/>
              <w:jc w:val="center"/>
              <w:rPr>
                <w:rFonts w:ascii="宋体" w:hAnsi="宋体"/>
                <w:szCs w:val="21"/>
              </w:rPr>
            </w:pPr>
            <w:r>
              <w:rPr>
                <w:rFonts w:hint="eastAsia" w:ascii="宋体" w:hAnsi="宋体"/>
                <w:szCs w:val="21"/>
              </w:rPr>
              <w:t>合计</w:t>
            </w:r>
          </w:p>
        </w:tc>
        <w:tc>
          <w:tcPr>
            <w:tcW w:w="8505" w:type="dxa"/>
            <w:gridSpan w:val="2"/>
            <w:vAlign w:val="center"/>
          </w:tcPr>
          <w:p>
            <w:pPr>
              <w:keepNext w:val="0"/>
              <w:keepLines w:val="0"/>
              <w:suppressLineNumbers w:val="0"/>
              <w:snapToGrid w:val="0"/>
              <w:spacing w:before="0" w:beforeAutospacing="0" w:after="0" w:afterAutospacing="0" w:line="240" w:lineRule="exact"/>
              <w:ind w:left="0" w:right="0"/>
              <w:jc w:val="center"/>
              <w:rPr>
                <w:rFonts w:ascii="宋体" w:hAnsi="宋体"/>
                <w:szCs w:val="21"/>
              </w:rPr>
            </w:pPr>
            <w:r>
              <w:rPr>
                <w:rFonts w:hint="eastAsia" w:ascii="宋体" w:hAnsi="宋体"/>
                <w:szCs w:val="21"/>
              </w:rPr>
              <w:t>55分</w:t>
            </w:r>
          </w:p>
        </w:tc>
      </w:tr>
    </w:tbl>
    <w:p>
      <w:pPr>
        <w:ind w:firstLine="360" w:firstLineChars="200"/>
        <w:rPr>
          <w:rFonts w:ascii="宋体" w:hAnsi="宋体"/>
          <w:sz w:val="18"/>
          <w:szCs w:val="18"/>
        </w:rPr>
      </w:pPr>
      <w:r>
        <w:rPr>
          <w:rFonts w:hint="eastAsia" w:ascii="宋体" w:hAnsi="宋体"/>
          <w:sz w:val="18"/>
          <w:szCs w:val="18"/>
        </w:rPr>
        <w:t xml:space="preserve">注：招标文件要求提交的与评价指标体系相关的各类有效资料，投标人如未按要求提交的，该项评分为零分。 </w:t>
      </w:r>
    </w:p>
    <w:p>
      <w:pPr>
        <w:pageBreakBefore/>
        <w:rPr>
          <w:rFonts w:ascii="宋体" w:hAnsi="宋体"/>
          <w:b/>
        </w:rPr>
      </w:pPr>
      <w:r>
        <w:rPr>
          <w:rFonts w:hint="eastAsia" w:ascii="宋体" w:hAnsi="宋体"/>
          <w:b/>
        </w:rPr>
        <w:t>附表3   商务评审表</w:t>
      </w:r>
    </w:p>
    <w:p/>
    <w:p>
      <w:pPr>
        <w:spacing w:line="300" w:lineRule="exact"/>
        <w:jc w:val="center"/>
        <w:rPr>
          <w:rFonts w:ascii="宋体" w:hAnsi="宋体"/>
          <w:b/>
          <w:sz w:val="28"/>
          <w:szCs w:val="28"/>
        </w:rPr>
      </w:pPr>
      <w:r>
        <w:rPr>
          <w:rFonts w:hint="eastAsia" w:ascii="宋体" w:hAnsi="宋体"/>
          <w:b/>
          <w:sz w:val="28"/>
          <w:szCs w:val="28"/>
        </w:rPr>
        <w:t xml:space="preserve"> 商务评审表</w:t>
      </w:r>
    </w:p>
    <w:tbl>
      <w:tblPr>
        <w:tblStyle w:val="44"/>
        <w:tblW w:w="929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28" w:type="dxa"/>
          <w:left w:w="108" w:type="dxa"/>
          <w:bottom w:w="28" w:type="dxa"/>
          <w:right w:w="108" w:type="dxa"/>
        </w:tblCellMar>
      </w:tblPr>
      <w:tblGrid>
        <w:gridCol w:w="1498"/>
        <w:gridCol w:w="7041"/>
        <w:gridCol w:w="7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trHeight w:val="465" w:hRule="atLeast"/>
          <w:tblHeader/>
          <w:jc w:val="center"/>
        </w:trPr>
        <w:tc>
          <w:tcPr>
            <w:tcW w:w="1498" w:type="dxa"/>
            <w:tcBorders>
              <w:top w:val="single" w:color="auto" w:sz="6" w:space="0"/>
              <w:left w:val="single" w:color="auto" w:sz="6" w:space="0"/>
              <w:bottom w:val="single" w:color="auto" w:sz="4" w:space="0"/>
            </w:tcBorders>
            <w:vAlign w:val="center"/>
          </w:tcPr>
          <w:p>
            <w:pPr>
              <w:keepNext w:val="0"/>
              <w:keepLines w:val="0"/>
              <w:suppressLineNumbers w:val="0"/>
              <w:spacing w:before="0" w:beforeAutospacing="0" w:after="0" w:afterAutospacing="0" w:line="260" w:lineRule="exact"/>
              <w:ind w:left="0" w:right="0"/>
              <w:jc w:val="center"/>
              <w:rPr>
                <w:rFonts w:ascii="宋体" w:hAnsi="宋体"/>
                <w:b/>
                <w:szCs w:val="21"/>
              </w:rPr>
            </w:pPr>
            <w:r>
              <w:rPr>
                <w:rFonts w:hint="eastAsia" w:ascii="宋体" w:hAnsi="宋体"/>
                <w:b/>
                <w:szCs w:val="21"/>
              </w:rPr>
              <w:t>评审项目</w:t>
            </w:r>
          </w:p>
        </w:tc>
        <w:tc>
          <w:tcPr>
            <w:tcW w:w="7041" w:type="dxa"/>
            <w:tcBorders>
              <w:top w:val="single" w:color="auto" w:sz="6" w:space="0"/>
              <w:bottom w:val="single" w:color="auto" w:sz="4" w:space="0"/>
            </w:tcBorders>
            <w:vAlign w:val="center"/>
          </w:tcPr>
          <w:p>
            <w:pPr>
              <w:keepNext w:val="0"/>
              <w:keepLines w:val="0"/>
              <w:suppressLineNumbers w:val="0"/>
              <w:spacing w:before="0" w:beforeAutospacing="0" w:after="0" w:afterAutospacing="0" w:line="260" w:lineRule="exact"/>
              <w:ind w:left="0" w:right="0"/>
              <w:jc w:val="center"/>
              <w:rPr>
                <w:rFonts w:ascii="宋体" w:hAnsi="宋体"/>
                <w:b/>
                <w:szCs w:val="21"/>
              </w:rPr>
            </w:pPr>
            <w:r>
              <w:rPr>
                <w:rFonts w:hint="eastAsia" w:ascii="宋体" w:hAnsi="宋体"/>
                <w:b/>
                <w:szCs w:val="21"/>
              </w:rPr>
              <w:t>评分标准</w:t>
            </w:r>
          </w:p>
        </w:tc>
        <w:tc>
          <w:tcPr>
            <w:tcW w:w="755" w:type="dxa"/>
            <w:tcBorders>
              <w:top w:val="single" w:color="auto" w:sz="6" w:space="0"/>
              <w:bottom w:val="single" w:color="auto" w:sz="4" w:space="0"/>
              <w:right w:val="single" w:color="auto" w:sz="6" w:space="0"/>
            </w:tcBorders>
            <w:vAlign w:val="center"/>
          </w:tcPr>
          <w:p>
            <w:pPr>
              <w:keepNext w:val="0"/>
              <w:keepLines w:val="0"/>
              <w:suppressLineNumbers w:val="0"/>
              <w:spacing w:before="0" w:beforeAutospacing="0" w:after="0" w:afterAutospacing="0" w:line="260" w:lineRule="exact"/>
              <w:ind w:left="0" w:right="0"/>
              <w:jc w:val="center"/>
              <w:rPr>
                <w:rFonts w:ascii="宋体" w:hAnsi="宋体"/>
                <w:b/>
                <w:szCs w:val="21"/>
              </w:rPr>
            </w:pPr>
            <w:r>
              <w:rPr>
                <w:rFonts w:hint="eastAsia" w:ascii="宋体" w:hAnsi="宋体"/>
                <w:b/>
                <w:szCs w:val="21"/>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trHeight w:val="465" w:hRule="atLeast"/>
          <w:tblHeader/>
          <w:jc w:val="center"/>
        </w:trPr>
        <w:tc>
          <w:tcPr>
            <w:tcW w:w="149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ascii="宋体" w:hAnsi="宋体" w:cs="宋体"/>
                <w:szCs w:val="21"/>
              </w:rPr>
            </w:pPr>
            <w:r>
              <w:rPr>
                <w:rFonts w:hint="eastAsia" w:ascii="宋体" w:hAnsi="宋体" w:cs="宋体"/>
                <w:szCs w:val="21"/>
              </w:rPr>
              <w:t>用户需求书响应情况</w:t>
            </w:r>
          </w:p>
        </w:tc>
        <w:tc>
          <w:tcPr>
            <w:tcW w:w="7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720"/>
              </w:tabs>
              <w:spacing w:before="0" w:beforeAutospacing="0" w:after="0" w:afterAutospacing="0" w:line="280" w:lineRule="exact"/>
              <w:ind w:left="0" w:right="0"/>
              <w:jc w:val="left"/>
              <w:rPr>
                <w:rFonts w:ascii="宋体" w:hAnsi="宋体"/>
                <w:szCs w:val="21"/>
              </w:rPr>
            </w:pPr>
            <w:r>
              <w:rPr>
                <w:rFonts w:hint="eastAsia" w:ascii="宋体" w:hAnsi="宋体"/>
                <w:szCs w:val="21"/>
              </w:rPr>
              <w:t>对照用户需求书中各项条款填写用户需求书响应表：</w:t>
            </w:r>
          </w:p>
          <w:p>
            <w:pPr>
              <w:keepNext w:val="0"/>
              <w:keepLines w:val="0"/>
              <w:suppressLineNumbers w:val="0"/>
              <w:tabs>
                <w:tab w:val="left" w:pos="720"/>
              </w:tabs>
              <w:spacing w:before="0" w:beforeAutospacing="0" w:after="0" w:afterAutospacing="0" w:line="280" w:lineRule="exact"/>
              <w:ind w:left="0" w:right="0"/>
              <w:jc w:val="left"/>
              <w:rPr>
                <w:rFonts w:ascii="宋体" w:hAnsi="宋体"/>
                <w:szCs w:val="21"/>
              </w:rPr>
            </w:pPr>
            <w:r>
              <w:rPr>
                <w:rFonts w:hint="eastAsia" w:ascii="宋体" w:hAnsi="宋体"/>
                <w:szCs w:val="21"/>
              </w:rPr>
              <w:t>对用户需求书中各项条款完全响应，无偏离的得</w:t>
            </w:r>
            <w:r>
              <w:rPr>
                <w:rFonts w:ascii="宋体" w:hAnsi="宋体"/>
                <w:szCs w:val="21"/>
              </w:rPr>
              <w:t>7</w:t>
            </w:r>
            <w:r>
              <w:rPr>
                <w:rFonts w:hint="eastAsia" w:ascii="宋体" w:hAnsi="宋体"/>
                <w:szCs w:val="21"/>
              </w:rPr>
              <w:t>分；</w:t>
            </w:r>
          </w:p>
          <w:p>
            <w:pPr>
              <w:keepNext w:val="0"/>
              <w:keepLines w:val="0"/>
              <w:widowControl/>
              <w:suppressLineNumbers w:val="0"/>
              <w:spacing w:before="0" w:beforeAutospacing="0" w:after="0" w:afterAutospacing="0" w:line="280" w:lineRule="exact"/>
              <w:ind w:left="0" w:right="0"/>
              <w:jc w:val="left"/>
              <w:rPr>
                <w:rFonts w:ascii="宋体" w:hAnsi="宋体"/>
                <w:szCs w:val="21"/>
              </w:rPr>
            </w:pPr>
            <w:r>
              <w:rPr>
                <w:rFonts w:hint="eastAsia" w:ascii="宋体" w:hAnsi="宋体"/>
                <w:szCs w:val="21"/>
              </w:rPr>
              <w:t>对用户需求书中部分条款不响应或有缺漏项或有负偏离的得</w:t>
            </w:r>
            <w:r>
              <w:rPr>
                <w:rFonts w:ascii="宋体" w:hAnsi="宋体"/>
                <w:szCs w:val="21"/>
              </w:rPr>
              <w:t>3</w:t>
            </w:r>
            <w:r>
              <w:rPr>
                <w:rFonts w:hint="eastAsia" w:ascii="宋体" w:hAnsi="宋体"/>
                <w:szCs w:val="21"/>
              </w:rPr>
              <w:t>分</w:t>
            </w:r>
          </w:p>
        </w:tc>
        <w:tc>
          <w:tcPr>
            <w:tcW w:w="7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ascii="宋体" w:hAnsi="宋体"/>
                <w:szCs w:val="21"/>
              </w:rPr>
            </w:pPr>
            <w:r>
              <w:rPr>
                <w:rFonts w:ascii="宋体" w:hAnsi="宋体"/>
                <w:szCs w:val="21"/>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trHeight w:val="465" w:hRule="atLeast"/>
          <w:tblHeader/>
          <w:jc w:val="center"/>
        </w:trPr>
        <w:tc>
          <w:tcPr>
            <w:tcW w:w="149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ascii="宋体" w:hAnsi="宋体" w:cs="宋体"/>
                <w:szCs w:val="21"/>
              </w:rPr>
            </w:pPr>
            <w:r>
              <w:rPr>
                <w:rFonts w:hint="eastAsia" w:ascii="宋体" w:hAnsi="宋体" w:cs="宋体"/>
                <w:szCs w:val="21"/>
              </w:rPr>
              <w:t>同类项目业绩</w:t>
            </w:r>
          </w:p>
        </w:tc>
        <w:tc>
          <w:tcPr>
            <w:tcW w:w="70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left"/>
              <w:rPr>
                <w:rFonts w:ascii="宋体" w:hAnsi="宋体" w:cs="宋体"/>
                <w:szCs w:val="21"/>
              </w:rPr>
            </w:pPr>
            <w:r>
              <w:rPr>
                <w:rFonts w:hint="eastAsia" w:ascii="宋体" w:hAnsi="宋体" w:cs="宋体"/>
                <w:szCs w:val="21"/>
              </w:rPr>
              <w:t>投标人</w:t>
            </w:r>
            <w:r>
              <w:rPr>
                <w:rFonts w:hint="eastAsia" w:ascii="宋体" w:hAnsi="宋体"/>
                <w:szCs w:val="21"/>
              </w:rPr>
              <w:t>2020年1月 1日至今（</w:t>
            </w:r>
            <w:r>
              <w:rPr>
                <w:rFonts w:hint="eastAsia" w:ascii="宋体" w:hAnsi="宋体" w:cs="宋体"/>
                <w:szCs w:val="21"/>
              </w:rPr>
              <w:t>以合同签订时间为准</w:t>
            </w:r>
            <w:r>
              <w:rPr>
                <w:rFonts w:hint="eastAsia" w:ascii="宋体" w:hAnsi="宋体"/>
                <w:szCs w:val="21"/>
              </w:rPr>
              <w:t>）</w:t>
            </w:r>
            <w:r>
              <w:rPr>
                <w:rFonts w:ascii="宋体" w:hAnsi="宋体"/>
                <w:szCs w:val="21"/>
              </w:rPr>
              <w:t>承接过同类（1000人或以上供餐）饭堂</w:t>
            </w:r>
            <w:r>
              <w:rPr>
                <w:rFonts w:hint="eastAsia" w:ascii="宋体" w:hAnsi="宋体" w:cs="宋体"/>
                <w:szCs w:val="21"/>
              </w:rPr>
              <w:t>项目</w:t>
            </w:r>
            <w:r>
              <w:rPr>
                <w:rFonts w:ascii="宋体" w:hAnsi="宋体" w:cs="宋体"/>
                <w:szCs w:val="21"/>
              </w:rPr>
              <w:t>业绩</w:t>
            </w:r>
            <w:r>
              <w:rPr>
                <w:rFonts w:hint="eastAsia" w:ascii="宋体" w:hAnsi="宋体" w:cs="宋体"/>
                <w:szCs w:val="21"/>
              </w:rPr>
              <w:t>，每项得2分，最高6分。需提供合同关键页复印件</w:t>
            </w:r>
            <w:r>
              <w:rPr>
                <w:rFonts w:ascii="宋体" w:hAnsi="宋体" w:cs="宋体"/>
                <w:szCs w:val="21"/>
              </w:rPr>
              <w:t>加盖投标人公章</w:t>
            </w:r>
            <w:r>
              <w:rPr>
                <w:rFonts w:hint="eastAsia" w:ascii="宋体" w:hAnsi="宋体" w:cs="宋体"/>
                <w:szCs w:val="21"/>
              </w:rPr>
              <w:t>，不提供或不符合不得分</w:t>
            </w:r>
          </w:p>
        </w:tc>
        <w:tc>
          <w:tcPr>
            <w:tcW w:w="7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ascii="宋体" w:hAnsi="宋体"/>
                <w:szCs w:val="21"/>
              </w:rPr>
            </w:pPr>
            <w:r>
              <w:rPr>
                <w:rFonts w:hint="eastAsia" w:ascii="宋体" w:hAnsi="宋体"/>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trHeight w:val="465" w:hRule="atLeast"/>
          <w:tblHeader/>
          <w:jc w:val="center"/>
        </w:trPr>
        <w:tc>
          <w:tcPr>
            <w:tcW w:w="149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ascii="宋体" w:hAnsi="宋体" w:cs="宋体"/>
                <w:szCs w:val="21"/>
              </w:rPr>
            </w:pPr>
            <w:r>
              <w:rPr>
                <w:rFonts w:hint="eastAsia" w:ascii="宋体" w:hAnsi="宋体" w:cs="宋体"/>
                <w:szCs w:val="21"/>
              </w:rPr>
              <w:t>客户评价</w:t>
            </w:r>
          </w:p>
        </w:tc>
        <w:tc>
          <w:tcPr>
            <w:tcW w:w="7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left"/>
              <w:rPr>
                <w:rFonts w:ascii="宋体" w:hAnsi="宋体" w:cs="宋体"/>
                <w:szCs w:val="21"/>
              </w:rPr>
            </w:pPr>
            <w:r>
              <w:rPr>
                <w:rFonts w:hint="eastAsia" w:ascii="宋体" w:hAnsi="宋体"/>
                <w:szCs w:val="21"/>
              </w:rPr>
              <w:t>提供上述</w:t>
            </w:r>
            <w:r>
              <w:rPr>
                <w:rFonts w:ascii="宋体" w:hAnsi="宋体"/>
                <w:szCs w:val="21"/>
              </w:rPr>
              <w:t>饭堂</w:t>
            </w:r>
            <w:r>
              <w:rPr>
                <w:rFonts w:hint="eastAsia" w:ascii="宋体" w:hAnsi="宋体" w:cs="宋体"/>
                <w:szCs w:val="21"/>
              </w:rPr>
              <w:t>项目业绩具有用户单位盖章的客户满意度评价，评价结论为优秀类或满意或好评或 90 分及以上的，每项得2分，最高6分。需提供用户单位盖章的评价证明复印件，不提供或不符合不得分</w:t>
            </w:r>
          </w:p>
        </w:tc>
        <w:tc>
          <w:tcPr>
            <w:tcW w:w="7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ascii="宋体" w:hAnsi="宋体" w:cs="宋体"/>
                <w:szCs w:val="21"/>
              </w:rPr>
            </w:pPr>
            <w:r>
              <w:rPr>
                <w:rFonts w:hint="eastAsia" w:ascii="宋体" w:hAnsi="宋体" w:cs="宋体"/>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trHeight w:val="465" w:hRule="atLeast"/>
          <w:tblHeader/>
          <w:jc w:val="center"/>
        </w:trPr>
        <w:tc>
          <w:tcPr>
            <w:tcW w:w="14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ascii="宋体" w:hAnsi="宋体" w:cs="宋体"/>
                <w:bCs/>
                <w:szCs w:val="21"/>
              </w:rPr>
            </w:pPr>
            <w:r>
              <w:rPr>
                <w:rFonts w:ascii="宋体" w:hAnsi="宋体" w:cs="宋体"/>
                <w:szCs w:val="21"/>
              </w:rPr>
              <w:t>餐饮服务食品安全量化分级</w:t>
            </w:r>
          </w:p>
        </w:tc>
        <w:tc>
          <w:tcPr>
            <w:tcW w:w="7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78" w:leftChars="-37" w:right="-73" w:rightChars="-35"/>
              <w:jc w:val="left"/>
              <w:rPr>
                <w:rFonts w:ascii="宋体" w:hAnsi="宋体" w:cs="宋体"/>
                <w:szCs w:val="21"/>
              </w:rPr>
            </w:pPr>
            <w:r>
              <w:rPr>
                <w:rFonts w:ascii="宋体" w:hAnsi="宋体" w:cs="宋体"/>
                <w:szCs w:val="21"/>
              </w:rPr>
              <w:t>投标人</w:t>
            </w:r>
            <w:r>
              <w:rPr>
                <w:rFonts w:hint="eastAsia" w:ascii="宋体" w:hAnsi="宋体" w:cs="宋体"/>
                <w:szCs w:val="21"/>
              </w:rPr>
              <w:t>2</w:t>
            </w:r>
            <w:r>
              <w:rPr>
                <w:rFonts w:ascii="宋体" w:hAnsi="宋体" w:cs="宋体"/>
                <w:szCs w:val="21"/>
              </w:rPr>
              <w:t>020</w:t>
            </w:r>
            <w:r>
              <w:rPr>
                <w:rFonts w:hint="eastAsia" w:ascii="宋体" w:hAnsi="宋体" w:cs="宋体"/>
                <w:szCs w:val="21"/>
              </w:rPr>
              <w:t>年1月1日至今</w:t>
            </w:r>
            <w:r>
              <w:rPr>
                <w:rFonts w:hint="eastAsia" w:ascii="宋体" w:hAnsi="宋体"/>
                <w:szCs w:val="21"/>
              </w:rPr>
              <w:t>（</w:t>
            </w:r>
            <w:r>
              <w:rPr>
                <w:rFonts w:hint="eastAsia" w:ascii="宋体" w:hAnsi="宋体" w:cs="宋体"/>
                <w:szCs w:val="21"/>
              </w:rPr>
              <w:t>以合同签订时间为准</w:t>
            </w:r>
            <w:r>
              <w:rPr>
                <w:rFonts w:hint="eastAsia" w:ascii="宋体" w:hAnsi="宋体"/>
                <w:szCs w:val="21"/>
              </w:rPr>
              <w:t>）</w:t>
            </w:r>
            <w:r>
              <w:rPr>
                <w:rFonts w:ascii="宋体" w:hAnsi="宋体"/>
                <w:szCs w:val="21"/>
              </w:rPr>
              <w:t>承接过同类（1000人或以上供餐）饭堂</w:t>
            </w:r>
            <w:r>
              <w:rPr>
                <w:rFonts w:hint="eastAsia" w:ascii="宋体" w:hAnsi="宋体" w:cs="宋体"/>
                <w:szCs w:val="21"/>
              </w:rPr>
              <w:t>项目中</w:t>
            </w:r>
            <w:r>
              <w:rPr>
                <w:rFonts w:ascii="宋体" w:hAnsi="宋体" w:cs="宋体"/>
                <w:szCs w:val="21"/>
              </w:rPr>
              <w:t>，提供</w:t>
            </w:r>
            <w:r>
              <w:rPr>
                <w:rFonts w:hint="eastAsia" w:ascii="宋体" w:hAnsi="宋体" w:cs="宋体"/>
                <w:szCs w:val="21"/>
              </w:rPr>
              <w:t>政府</w:t>
            </w:r>
            <w:r>
              <w:rPr>
                <w:rFonts w:ascii="宋体" w:hAnsi="宋体" w:cs="宋体"/>
                <w:szCs w:val="21"/>
              </w:rPr>
              <w:t>部门颁发“餐饮服务食品安全等级公示A级”的得5分；</w:t>
            </w:r>
            <w:r>
              <w:rPr>
                <w:rFonts w:hint="eastAsia" w:ascii="宋体" w:hAnsi="宋体" w:cs="宋体"/>
                <w:szCs w:val="21"/>
              </w:rPr>
              <w:t>不</w:t>
            </w:r>
            <w:r>
              <w:rPr>
                <w:rFonts w:ascii="宋体" w:hAnsi="宋体" w:cs="宋体"/>
                <w:szCs w:val="21"/>
              </w:rPr>
              <w:t>提供得0分。</w:t>
            </w:r>
          </w:p>
          <w:p>
            <w:pPr>
              <w:keepNext w:val="0"/>
              <w:keepLines w:val="0"/>
              <w:suppressLineNumbers w:val="0"/>
              <w:spacing w:before="0" w:beforeAutospacing="0" w:after="0" w:afterAutospacing="0" w:line="280" w:lineRule="exact"/>
              <w:ind w:left="-78" w:leftChars="-37" w:right="-73" w:rightChars="-35"/>
              <w:jc w:val="left"/>
              <w:rPr>
                <w:rFonts w:ascii="宋体" w:hAnsi="宋体" w:cs="宋体"/>
                <w:szCs w:val="21"/>
              </w:rPr>
            </w:pPr>
            <w:r>
              <w:rPr>
                <w:rFonts w:ascii="宋体" w:hAnsi="宋体" w:cs="宋体"/>
                <w:szCs w:val="21"/>
              </w:rPr>
              <w:t>【提供同类项目合同关键页、</w:t>
            </w:r>
            <w:r>
              <w:rPr>
                <w:rFonts w:hint="eastAsia" w:ascii="宋体" w:hAnsi="宋体" w:cs="宋体"/>
                <w:szCs w:val="21"/>
              </w:rPr>
              <w:t>政府</w:t>
            </w:r>
            <w:r>
              <w:rPr>
                <w:rFonts w:ascii="宋体" w:hAnsi="宋体" w:cs="宋体"/>
                <w:szCs w:val="21"/>
              </w:rPr>
              <w:t>部门公示截图、牌匾图片等证明材料，不提供不得分。】</w:t>
            </w:r>
          </w:p>
        </w:tc>
        <w:tc>
          <w:tcPr>
            <w:tcW w:w="7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ascii="宋体" w:hAnsi="宋体"/>
                <w:szCs w:val="21"/>
              </w:rPr>
            </w:pPr>
            <w:r>
              <w:rPr>
                <w:rFonts w:hint="eastAsia" w:ascii="宋体" w:hAnsi="宋体"/>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trHeight w:val="465" w:hRule="atLeast"/>
          <w:tblHeader/>
          <w:jc w:val="center"/>
        </w:trPr>
        <w:tc>
          <w:tcPr>
            <w:tcW w:w="14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ascii="宋体" w:hAnsi="宋体" w:cs="宋体"/>
                <w:szCs w:val="21"/>
              </w:rPr>
            </w:pPr>
            <w:r>
              <w:rPr>
                <w:rFonts w:ascii="宋体" w:hAnsi="宋体"/>
                <w:szCs w:val="21"/>
              </w:rPr>
              <w:t>食品安全责任</w:t>
            </w:r>
            <w:r>
              <w:rPr>
                <w:rFonts w:hint="eastAsia" w:ascii="宋体" w:hAnsi="宋体"/>
                <w:szCs w:val="21"/>
              </w:rPr>
              <w:t>保障</w:t>
            </w:r>
          </w:p>
        </w:tc>
        <w:tc>
          <w:tcPr>
            <w:tcW w:w="7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ascii="宋体" w:hAnsi="宋体"/>
                <w:szCs w:val="21"/>
              </w:rPr>
            </w:pPr>
            <w:r>
              <w:rPr>
                <w:rFonts w:hint="eastAsia" w:ascii="宋体" w:hAnsi="宋体"/>
                <w:szCs w:val="21"/>
              </w:rPr>
              <w:t>1.投标人承诺在中标后为本项目购买食品安全类责任险（保险期3年），</w:t>
            </w:r>
            <w:r>
              <w:rPr>
                <w:rFonts w:ascii="宋体" w:hAnsi="宋体"/>
                <w:szCs w:val="21"/>
              </w:rPr>
              <w:t>年度</w:t>
            </w:r>
            <w:r>
              <w:rPr>
                <w:rFonts w:hint="eastAsia" w:ascii="宋体" w:hAnsi="宋体"/>
                <w:szCs w:val="21"/>
              </w:rPr>
              <w:t>事故赔偿限额</w:t>
            </w:r>
            <w:r>
              <w:rPr>
                <w:rFonts w:ascii="宋体" w:hAnsi="宋体"/>
                <w:szCs w:val="21"/>
              </w:rPr>
              <w:t>≥</w:t>
            </w:r>
            <w:r>
              <w:rPr>
                <w:rFonts w:hint="eastAsia" w:ascii="宋体" w:hAnsi="宋体"/>
                <w:szCs w:val="21"/>
              </w:rPr>
              <w:t>5</w:t>
            </w:r>
            <w:r>
              <w:rPr>
                <w:rFonts w:ascii="宋体" w:hAnsi="宋体"/>
                <w:szCs w:val="21"/>
              </w:rPr>
              <w:t>000</w:t>
            </w:r>
            <w:r>
              <w:rPr>
                <w:rFonts w:hint="eastAsia" w:ascii="宋体" w:hAnsi="宋体"/>
                <w:szCs w:val="21"/>
              </w:rPr>
              <w:t>万元人民币</w:t>
            </w:r>
            <w:r>
              <w:rPr>
                <w:rFonts w:ascii="宋体" w:hAnsi="宋体"/>
                <w:szCs w:val="21"/>
              </w:rPr>
              <w:t>的</w:t>
            </w:r>
            <w:r>
              <w:rPr>
                <w:rFonts w:hint="eastAsia" w:ascii="宋体" w:hAnsi="宋体"/>
                <w:szCs w:val="21"/>
              </w:rPr>
              <w:t>得</w:t>
            </w:r>
            <w:r>
              <w:rPr>
                <w:rFonts w:ascii="宋体" w:hAnsi="宋体"/>
                <w:szCs w:val="21"/>
              </w:rPr>
              <w:t>3</w:t>
            </w:r>
            <w:r>
              <w:rPr>
                <w:rFonts w:hint="eastAsia" w:ascii="宋体" w:hAnsi="宋体"/>
                <w:szCs w:val="21"/>
              </w:rPr>
              <w:t>分</w:t>
            </w:r>
            <w:r>
              <w:rPr>
                <w:rFonts w:ascii="宋体" w:hAnsi="宋体"/>
                <w:szCs w:val="21"/>
              </w:rPr>
              <w:t>，3000</w:t>
            </w:r>
            <w:r>
              <w:rPr>
                <w:rFonts w:hint="eastAsia" w:ascii="宋体" w:hAnsi="宋体"/>
                <w:szCs w:val="21"/>
              </w:rPr>
              <w:t>万元人民币</w:t>
            </w:r>
            <w:r>
              <w:rPr>
                <w:rFonts w:ascii="宋体" w:hAnsi="宋体"/>
                <w:szCs w:val="21"/>
              </w:rPr>
              <w:t>≤年度</w:t>
            </w:r>
            <w:r>
              <w:rPr>
                <w:rFonts w:hint="eastAsia" w:ascii="宋体" w:hAnsi="宋体"/>
                <w:szCs w:val="21"/>
              </w:rPr>
              <w:t>事故赔偿限额</w:t>
            </w:r>
            <w:r>
              <w:rPr>
                <w:rFonts w:ascii="宋体" w:hAnsi="宋体"/>
                <w:szCs w:val="21"/>
              </w:rPr>
              <w:t>＜</w:t>
            </w:r>
            <w:r>
              <w:rPr>
                <w:rFonts w:hint="eastAsia" w:ascii="宋体" w:hAnsi="宋体"/>
                <w:szCs w:val="21"/>
              </w:rPr>
              <w:t>5</w:t>
            </w:r>
            <w:r>
              <w:rPr>
                <w:rFonts w:ascii="宋体" w:hAnsi="宋体"/>
                <w:szCs w:val="21"/>
              </w:rPr>
              <w:t>000万</w:t>
            </w:r>
            <w:r>
              <w:rPr>
                <w:rFonts w:hint="eastAsia" w:ascii="宋体" w:hAnsi="宋体"/>
                <w:szCs w:val="21"/>
              </w:rPr>
              <w:t>元人民币</w:t>
            </w:r>
            <w:r>
              <w:rPr>
                <w:rFonts w:ascii="宋体" w:hAnsi="宋体"/>
                <w:szCs w:val="21"/>
              </w:rPr>
              <w:t>的</w:t>
            </w:r>
            <w:r>
              <w:rPr>
                <w:rFonts w:hint="eastAsia" w:ascii="宋体" w:hAnsi="宋体"/>
                <w:szCs w:val="21"/>
              </w:rPr>
              <w:t>得</w:t>
            </w:r>
            <w:r>
              <w:rPr>
                <w:rFonts w:ascii="宋体" w:hAnsi="宋体"/>
                <w:szCs w:val="21"/>
              </w:rPr>
              <w:t>2</w:t>
            </w:r>
            <w:r>
              <w:rPr>
                <w:rFonts w:hint="eastAsia" w:ascii="宋体" w:hAnsi="宋体"/>
                <w:szCs w:val="21"/>
              </w:rPr>
              <w:t>分</w:t>
            </w:r>
            <w:r>
              <w:rPr>
                <w:rFonts w:ascii="宋体" w:hAnsi="宋体"/>
                <w:szCs w:val="21"/>
              </w:rPr>
              <w:t>，1000</w:t>
            </w:r>
            <w:r>
              <w:rPr>
                <w:rFonts w:hint="eastAsia" w:ascii="宋体" w:hAnsi="宋体"/>
                <w:szCs w:val="21"/>
              </w:rPr>
              <w:t>万元人民币</w:t>
            </w:r>
            <w:r>
              <w:rPr>
                <w:rFonts w:ascii="宋体" w:hAnsi="宋体"/>
                <w:szCs w:val="21"/>
              </w:rPr>
              <w:t>≤年度</w:t>
            </w:r>
            <w:r>
              <w:rPr>
                <w:rFonts w:hint="eastAsia" w:ascii="宋体" w:hAnsi="宋体"/>
                <w:szCs w:val="21"/>
              </w:rPr>
              <w:t>事故赔偿限额</w:t>
            </w:r>
            <w:r>
              <w:rPr>
                <w:rFonts w:ascii="宋体" w:hAnsi="宋体"/>
                <w:szCs w:val="21"/>
              </w:rPr>
              <w:t>＜3000万</w:t>
            </w:r>
            <w:r>
              <w:rPr>
                <w:rFonts w:hint="eastAsia" w:ascii="宋体" w:hAnsi="宋体"/>
                <w:szCs w:val="21"/>
              </w:rPr>
              <w:t>元人民币</w:t>
            </w:r>
            <w:r>
              <w:rPr>
                <w:rFonts w:ascii="宋体" w:hAnsi="宋体"/>
                <w:szCs w:val="21"/>
              </w:rPr>
              <w:t>的</w:t>
            </w:r>
            <w:r>
              <w:rPr>
                <w:rFonts w:hint="eastAsia" w:ascii="宋体" w:hAnsi="宋体"/>
                <w:szCs w:val="21"/>
              </w:rPr>
              <w:t>得</w:t>
            </w:r>
            <w:r>
              <w:rPr>
                <w:rFonts w:ascii="宋体" w:hAnsi="宋体"/>
                <w:szCs w:val="21"/>
              </w:rPr>
              <w:t>1</w:t>
            </w:r>
            <w:r>
              <w:rPr>
                <w:rFonts w:hint="eastAsia" w:ascii="宋体" w:hAnsi="宋体"/>
                <w:szCs w:val="21"/>
              </w:rPr>
              <w:t>分</w:t>
            </w:r>
            <w:r>
              <w:rPr>
                <w:rFonts w:ascii="宋体" w:hAnsi="宋体"/>
                <w:szCs w:val="21"/>
              </w:rPr>
              <w:t>，年度</w:t>
            </w:r>
            <w:r>
              <w:rPr>
                <w:rFonts w:hint="eastAsia" w:ascii="宋体" w:hAnsi="宋体"/>
                <w:szCs w:val="21"/>
              </w:rPr>
              <w:t>事故赔偿限额</w:t>
            </w:r>
            <w:r>
              <w:rPr>
                <w:rFonts w:ascii="宋体" w:hAnsi="宋体"/>
                <w:szCs w:val="21"/>
              </w:rPr>
              <w:t>＜1000</w:t>
            </w:r>
            <w:r>
              <w:rPr>
                <w:rFonts w:hint="eastAsia" w:ascii="宋体" w:hAnsi="宋体"/>
                <w:szCs w:val="21"/>
              </w:rPr>
              <w:t>万元人民币</w:t>
            </w:r>
            <w:r>
              <w:rPr>
                <w:rFonts w:ascii="宋体" w:hAnsi="宋体"/>
                <w:szCs w:val="21"/>
              </w:rPr>
              <w:t>的不得分；</w:t>
            </w:r>
            <w:r>
              <w:rPr>
                <w:rFonts w:hint="eastAsia" w:ascii="宋体" w:hAnsi="宋体"/>
                <w:szCs w:val="21"/>
              </w:rPr>
              <w:t>需提供承诺书（格式自拟），不符合或不提供不得分</w:t>
            </w:r>
            <w:r>
              <w:rPr>
                <w:rFonts w:ascii="宋体" w:hAnsi="宋体"/>
                <w:szCs w:val="21"/>
              </w:rPr>
              <w:t>。</w:t>
            </w:r>
          </w:p>
          <w:p>
            <w:pPr>
              <w:keepNext w:val="0"/>
              <w:keepLines w:val="0"/>
              <w:suppressLineNumbers w:val="0"/>
              <w:spacing w:before="0" w:beforeAutospacing="0" w:after="0" w:afterAutospacing="0" w:line="280" w:lineRule="exact"/>
              <w:ind w:left="0" w:right="0"/>
              <w:jc w:val="left"/>
              <w:rPr>
                <w:rFonts w:ascii="宋体" w:hAnsi="宋体" w:cs="宋体"/>
                <w:szCs w:val="21"/>
              </w:rPr>
            </w:pPr>
            <w:r>
              <w:rPr>
                <w:rFonts w:hint="eastAsia" w:ascii="宋体" w:hAnsi="宋体"/>
                <w:szCs w:val="21"/>
              </w:rPr>
              <w:t>2.投标人</w:t>
            </w:r>
            <w:r>
              <w:rPr>
                <w:rFonts w:ascii="宋体" w:hAnsi="宋体"/>
                <w:szCs w:val="21"/>
              </w:rPr>
              <w:t>提供同类饭堂</w:t>
            </w:r>
            <w:r>
              <w:rPr>
                <w:rFonts w:hint="eastAsia" w:ascii="宋体" w:hAnsi="宋体" w:cs="宋体"/>
                <w:szCs w:val="21"/>
              </w:rPr>
              <w:t>项目</w:t>
            </w:r>
            <w:r>
              <w:rPr>
                <w:rFonts w:ascii="宋体" w:hAnsi="宋体" w:cs="宋体"/>
                <w:szCs w:val="21"/>
              </w:rPr>
              <w:t>有效的食品安全责任保险单，</w:t>
            </w:r>
            <w:r>
              <w:rPr>
                <w:rFonts w:hint="eastAsia" w:ascii="宋体" w:hAnsi="宋体"/>
                <w:szCs w:val="21"/>
              </w:rPr>
              <w:t>且</w:t>
            </w:r>
            <w:r>
              <w:rPr>
                <w:rFonts w:ascii="宋体" w:hAnsi="宋体"/>
                <w:szCs w:val="21"/>
              </w:rPr>
              <w:t>年度</w:t>
            </w:r>
            <w:r>
              <w:rPr>
                <w:rFonts w:hint="eastAsia" w:ascii="宋体" w:hAnsi="宋体"/>
                <w:szCs w:val="21"/>
              </w:rPr>
              <w:t>事故赔偿限额</w:t>
            </w:r>
            <w:r>
              <w:rPr>
                <w:rFonts w:ascii="宋体" w:hAnsi="宋体"/>
                <w:szCs w:val="21"/>
              </w:rPr>
              <w:t>≥1000</w:t>
            </w:r>
            <w:r>
              <w:rPr>
                <w:rFonts w:hint="eastAsia" w:ascii="宋体" w:hAnsi="宋体"/>
                <w:szCs w:val="21"/>
              </w:rPr>
              <w:t>万元人民币，得</w:t>
            </w:r>
            <w:r>
              <w:rPr>
                <w:rFonts w:ascii="宋体" w:hAnsi="宋体"/>
                <w:szCs w:val="21"/>
              </w:rPr>
              <w:t>2</w:t>
            </w:r>
            <w:r>
              <w:rPr>
                <w:rFonts w:hint="eastAsia" w:ascii="宋体" w:hAnsi="宋体"/>
                <w:szCs w:val="21"/>
              </w:rPr>
              <w:t>分</w:t>
            </w:r>
            <w:r>
              <w:rPr>
                <w:rFonts w:ascii="宋体" w:hAnsi="宋体"/>
                <w:szCs w:val="21"/>
              </w:rPr>
              <w:t>，</w:t>
            </w:r>
            <w:r>
              <w:rPr>
                <w:rFonts w:hint="eastAsia" w:ascii="宋体" w:hAnsi="宋体" w:cs="宋体"/>
                <w:szCs w:val="21"/>
              </w:rPr>
              <w:t>需提供</w:t>
            </w:r>
            <w:r>
              <w:rPr>
                <w:rFonts w:ascii="宋体" w:hAnsi="宋体" w:cs="宋体"/>
                <w:szCs w:val="21"/>
              </w:rPr>
              <w:t>证明文件</w:t>
            </w:r>
            <w:r>
              <w:rPr>
                <w:rFonts w:hint="eastAsia" w:ascii="宋体" w:hAnsi="宋体" w:cs="宋体"/>
                <w:szCs w:val="21"/>
              </w:rPr>
              <w:t>复印件</w:t>
            </w:r>
            <w:r>
              <w:rPr>
                <w:rFonts w:ascii="宋体" w:hAnsi="宋体" w:cs="宋体"/>
                <w:szCs w:val="21"/>
              </w:rPr>
              <w:t>加盖投标人公章，</w:t>
            </w:r>
            <w:r>
              <w:rPr>
                <w:rFonts w:hint="eastAsia" w:ascii="宋体" w:hAnsi="宋体"/>
                <w:szCs w:val="21"/>
              </w:rPr>
              <w:t>不提供不得分。</w:t>
            </w:r>
          </w:p>
        </w:tc>
        <w:tc>
          <w:tcPr>
            <w:tcW w:w="7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ascii="宋体" w:hAnsi="宋体"/>
                <w:szCs w:val="21"/>
              </w:rPr>
            </w:pPr>
            <w:r>
              <w:rPr>
                <w:rFonts w:hint="eastAsia" w:ascii="宋体" w:hAnsi="宋体"/>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trHeight w:val="465" w:hRule="atLeast"/>
          <w:tblHeader/>
          <w:jc w:val="center"/>
        </w:trPr>
        <w:tc>
          <w:tcPr>
            <w:tcW w:w="14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80" w:lineRule="exact"/>
              <w:ind w:left="0" w:right="0"/>
              <w:jc w:val="center"/>
              <w:rPr>
                <w:rFonts w:ascii="宋体" w:hAnsi="宋体" w:cs="仿宋"/>
                <w:kern w:val="0"/>
                <w:szCs w:val="21"/>
              </w:rPr>
            </w:pPr>
            <w:r>
              <w:rPr>
                <w:rFonts w:hint="eastAsia" w:ascii="宋体" w:hAnsi="宋体"/>
                <w:bCs/>
                <w:szCs w:val="21"/>
              </w:rPr>
              <w:t>拟派本项目人员情况</w:t>
            </w:r>
          </w:p>
        </w:tc>
        <w:tc>
          <w:tcPr>
            <w:tcW w:w="70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left"/>
              <w:rPr>
                <w:rFonts w:ascii="宋体" w:hAnsi="宋体"/>
                <w:szCs w:val="21"/>
              </w:rPr>
            </w:pPr>
            <w:r>
              <w:rPr>
                <w:rFonts w:ascii="宋体" w:hAnsi="宋体"/>
                <w:szCs w:val="21"/>
              </w:rPr>
              <w:t>一、投标人派遣一名驻场项目负责人，需具备以下条件：</w:t>
            </w:r>
          </w:p>
          <w:p>
            <w:pPr>
              <w:keepNext w:val="0"/>
              <w:keepLines w:val="0"/>
              <w:suppressLineNumbers w:val="0"/>
              <w:spacing w:before="0" w:beforeAutospacing="0" w:after="0" w:afterAutospacing="0" w:line="280" w:lineRule="exact"/>
              <w:ind w:left="0" w:right="0"/>
              <w:jc w:val="left"/>
              <w:rPr>
                <w:rFonts w:ascii="宋体" w:hAnsi="宋体"/>
                <w:szCs w:val="21"/>
              </w:rPr>
            </w:pPr>
            <w:r>
              <w:rPr>
                <w:rFonts w:ascii="宋体" w:hAnsi="宋体"/>
                <w:szCs w:val="21"/>
              </w:rPr>
              <w:t>1.具有全日制大专或以上学历证书的,得1分；</w:t>
            </w:r>
          </w:p>
          <w:p>
            <w:pPr>
              <w:keepNext w:val="0"/>
              <w:keepLines w:val="0"/>
              <w:suppressLineNumbers w:val="0"/>
              <w:spacing w:before="0" w:beforeAutospacing="0" w:after="0" w:afterAutospacing="0" w:line="280" w:lineRule="exact"/>
              <w:ind w:left="0" w:right="0"/>
              <w:jc w:val="left"/>
              <w:rPr>
                <w:rFonts w:ascii="宋体" w:hAnsi="宋体"/>
                <w:szCs w:val="21"/>
              </w:rPr>
            </w:pPr>
            <w:r>
              <w:rPr>
                <w:rFonts w:ascii="宋体" w:hAnsi="宋体"/>
                <w:szCs w:val="21"/>
              </w:rPr>
              <w:t xml:space="preserve">2.具有中式烹调师证书的，得2分； </w:t>
            </w:r>
          </w:p>
          <w:p>
            <w:pPr>
              <w:keepNext w:val="0"/>
              <w:keepLines w:val="0"/>
              <w:suppressLineNumbers w:val="0"/>
              <w:spacing w:before="0" w:beforeAutospacing="0" w:after="0" w:afterAutospacing="0" w:line="280" w:lineRule="exact"/>
              <w:ind w:left="0" w:right="0"/>
              <w:jc w:val="left"/>
              <w:rPr>
                <w:rFonts w:ascii="宋体" w:hAnsi="宋体"/>
                <w:szCs w:val="21"/>
              </w:rPr>
            </w:pPr>
            <w:r>
              <w:rPr>
                <w:rFonts w:ascii="宋体" w:hAnsi="宋体"/>
                <w:szCs w:val="21"/>
              </w:rPr>
              <w:t>3.具有高级食品安全管理员证书得1分；</w:t>
            </w:r>
          </w:p>
          <w:p>
            <w:pPr>
              <w:keepNext w:val="0"/>
              <w:keepLines w:val="0"/>
              <w:suppressLineNumbers w:val="0"/>
              <w:spacing w:before="0" w:beforeAutospacing="0" w:after="0" w:afterAutospacing="0" w:line="280" w:lineRule="exact"/>
              <w:ind w:left="0" w:right="0"/>
              <w:jc w:val="left"/>
              <w:rPr>
                <w:rFonts w:ascii="宋体" w:hAnsi="宋体"/>
                <w:szCs w:val="21"/>
              </w:rPr>
            </w:pPr>
            <w:r>
              <w:rPr>
                <w:rFonts w:ascii="宋体" w:hAnsi="宋体"/>
                <w:szCs w:val="21"/>
              </w:rPr>
              <w:t>二、投标人派遣其他驻场服务人员，需具备以下条件：</w:t>
            </w:r>
          </w:p>
          <w:p>
            <w:pPr>
              <w:keepNext w:val="0"/>
              <w:keepLines w:val="0"/>
              <w:suppressLineNumbers w:val="0"/>
              <w:spacing w:before="0" w:beforeAutospacing="0" w:after="0" w:afterAutospacing="0" w:line="280" w:lineRule="exact"/>
              <w:ind w:left="0" w:right="0"/>
              <w:jc w:val="left"/>
              <w:rPr>
                <w:rFonts w:ascii="宋体" w:hAnsi="宋体"/>
                <w:szCs w:val="21"/>
              </w:rPr>
            </w:pPr>
            <w:r>
              <w:rPr>
                <w:rFonts w:ascii="宋体" w:hAnsi="宋体"/>
                <w:szCs w:val="21"/>
              </w:rPr>
              <w:t>1.每提供一个监督管理部门颁发的食品安全管理员证书得0.1分，本小项最高0.5分；</w:t>
            </w:r>
          </w:p>
          <w:p>
            <w:pPr>
              <w:keepNext w:val="0"/>
              <w:keepLines w:val="0"/>
              <w:suppressLineNumbers w:val="0"/>
              <w:spacing w:before="0" w:beforeAutospacing="0" w:after="0" w:afterAutospacing="0" w:line="280" w:lineRule="exact"/>
              <w:ind w:left="0" w:right="0"/>
              <w:jc w:val="left"/>
              <w:rPr>
                <w:rFonts w:ascii="宋体" w:hAnsi="宋体"/>
                <w:szCs w:val="21"/>
              </w:rPr>
            </w:pPr>
            <w:r>
              <w:rPr>
                <w:rFonts w:ascii="宋体" w:hAnsi="宋体"/>
                <w:szCs w:val="21"/>
              </w:rPr>
              <w:t>2.每提供一个高级中式烹饪师证书的，得0.2分，本小项最高1分。</w:t>
            </w:r>
          </w:p>
          <w:p>
            <w:pPr>
              <w:keepNext w:val="0"/>
              <w:keepLines w:val="0"/>
              <w:suppressLineNumbers w:val="0"/>
              <w:spacing w:before="0" w:beforeAutospacing="0" w:after="0" w:afterAutospacing="0" w:line="280" w:lineRule="exact"/>
              <w:ind w:left="0" w:right="0"/>
              <w:jc w:val="left"/>
              <w:rPr>
                <w:rFonts w:ascii="宋体" w:hAnsi="宋体"/>
                <w:szCs w:val="21"/>
              </w:rPr>
            </w:pPr>
            <w:r>
              <w:rPr>
                <w:rFonts w:ascii="宋体" w:hAnsi="宋体"/>
                <w:szCs w:val="21"/>
              </w:rPr>
              <w:t>3.每提供一个高级营养师证书的，得0.3分，本小项最高0.3分。</w:t>
            </w:r>
          </w:p>
          <w:p>
            <w:pPr>
              <w:keepNext w:val="0"/>
              <w:keepLines w:val="0"/>
              <w:suppressLineNumbers w:val="0"/>
              <w:spacing w:before="0" w:beforeAutospacing="0" w:after="0" w:afterAutospacing="0" w:line="280" w:lineRule="exact"/>
              <w:ind w:left="0" w:right="0"/>
              <w:jc w:val="left"/>
              <w:rPr>
                <w:rFonts w:ascii="宋体" w:hAnsi="宋体"/>
                <w:szCs w:val="21"/>
              </w:rPr>
            </w:pPr>
            <w:r>
              <w:rPr>
                <w:rFonts w:ascii="宋体" w:hAnsi="宋体"/>
                <w:szCs w:val="21"/>
              </w:rPr>
              <w:t>4.每提供一个维修电工证书的，得0.2分，本小项最高0.2分。</w:t>
            </w:r>
          </w:p>
          <w:p>
            <w:pPr>
              <w:keepNext w:val="0"/>
              <w:keepLines w:val="0"/>
              <w:suppressLineNumbers w:val="0"/>
              <w:spacing w:before="0" w:beforeAutospacing="0" w:after="0" w:afterAutospacing="0" w:line="280" w:lineRule="exact"/>
              <w:ind w:left="0" w:right="0"/>
              <w:jc w:val="left"/>
              <w:rPr>
                <w:rFonts w:ascii="宋体" w:hAnsi="宋体"/>
                <w:szCs w:val="21"/>
              </w:rPr>
            </w:pPr>
            <w:r>
              <w:rPr>
                <w:rFonts w:hint="eastAsia" w:ascii="宋体" w:hAnsi="宋体"/>
                <w:szCs w:val="21"/>
              </w:rPr>
              <w:t>【</w:t>
            </w:r>
            <w:r>
              <w:rPr>
                <w:rFonts w:ascii="宋体" w:hAnsi="宋体"/>
                <w:szCs w:val="21"/>
              </w:rPr>
              <w:t>本项最高6分。</w:t>
            </w:r>
            <w:r>
              <w:rPr>
                <w:rFonts w:hint="eastAsia" w:ascii="宋体" w:hAnsi="宋体"/>
                <w:szCs w:val="21"/>
              </w:rPr>
              <w:t>需同时</w:t>
            </w:r>
            <w:r>
              <w:rPr>
                <w:rFonts w:ascii="宋体" w:hAnsi="宋体"/>
                <w:szCs w:val="21"/>
              </w:rPr>
              <w:t>提供</w:t>
            </w:r>
            <w:r>
              <w:rPr>
                <w:rFonts w:hint="eastAsia" w:ascii="宋体" w:hAnsi="宋体"/>
                <w:szCs w:val="21"/>
              </w:rPr>
              <w:t>:</w:t>
            </w:r>
            <w:r>
              <w:rPr>
                <w:rFonts w:ascii="宋体" w:hAnsi="宋体"/>
                <w:szCs w:val="21"/>
              </w:rPr>
              <w:t>人员相关证书复印件、</w:t>
            </w:r>
            <w:r>
              <w:rPr>
                <w:rFonts w:hint="eastAsia" w:ascii="宋体" w:hAnsi="宋体"/>
                <w:szCs w:val="21"/>
              </w:rPr>
              <w:t>以上人员</w:t>
            </w:r>
            <w:r>
              <w:rPr>
                <w:rFonts w:ascii="宋体" w:hAnsi="宋体"/>
                <w:szCs w:val="21"/>
              </w:rPr>
              <w:t>与投标人签署的劳动合同复印件并加盖投标人公章，不提供不得分</w:t>
            </w:r>
            <w:r>
              <w:rPr>
                <w:rFonts w:hint="eastAsia" w:ascii="宋体" w:hAnsi="宋体"/>
                <w:szCs w:val="21"/>
              </w:rPr>
              <w:t>】</w:t>
            </w:r>
          </w:p>
        </w:tc>
        <w:tc>
          <w:tcPr>
            <w:tcW w:w="7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ascii="宋体" w:hAnsi="宋体"/>
                <w:szCs w:val="21"/>
              </w:rPr>
            </w:pPr>
            <w:r>
              <w:rPr>
                <w:rFonts w:hint="eastAsia" w:ascii="宋体" w:hAnsi="宋体"/>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108" w:type="dxa"/>
            <w:bottom w:w="28" w:type="dxa"/>
            <w:right w:w="108" w:type="dxa"/>
          </w:tblCellMar>
        </w:tblPrEx>
        <w:trPr>
          <w:trHeight w:val="465" w:hRule="atLeast"/>
          <w:tblHeader/>
          <w:jc w:val="center"/>
        </w:trPr>
        <w:tc>
          <w:tcPr>
            <w:tcW w:w="1498" w:type="dxa"/>
            <w:tcBorders>
              <w:top w:val="single" w:color="auto" w:sz="4" w:space="0"/>
              <w:left w:val="single" w:color="auto" w:sz="6" w:space="0"/>
              <w:bottom w:val="single" w:color="auto" w:sz="6" w:space="0"/>
            </w:tcBorders>
            <w:vAlign w:val="center"/>
          </w:tcPr>
          <w:p>
            <w:pPr>
              <w:keepNext w:val="0"/>
              <w:keepLines w:val="0"/>
              <w:suppressLineNumbers w:val="0"/>
              <w:spacing w:before="0" w:beforeAutospacing="0" w:after="0" w:afterAutospacing="0" w:line="260" w:lineRule="exact"/>
              <w:ind w:left="0" w:right="0"/>
              <w:jc w:val="center"/>
              <w:rPr>
                <w:rFonts w:ascii="宋体" w:hAnsi="宋体"/>
                <w:szCs w:val="21"/>
              </w:rPr>
            </w:pPr>
            <w:r>
              <w:rPr>
                <w:rFonts w:hint="eastAsia" w:ascii="宋体" w:hAnsi="宋体"/>
                <w:szCs w:val="21"/>
              </w:rPr>
              <w:t>合    计</w:t>
            </w:r>
          </w:p>
        </w:tc>
        <w:tc>
          <w:tcPr>
            <w:tcW w:w="7796" w:type="dxa"/>
            <w:gridSpan w:val="2"/>
            <w:tcBorders>
              <w:top w:val="single" w:color="auto" w:sz="4" w:space="0"/>
              <w:bottom w:val="single" w:color="auto" w:sz="6" w:space="0"/>
              <w:right w:val="single" w:color="auto" w:sz="6" w:space="0"/>
            </w:tcBorders>
            <w:vAlign w:val="center"/>
          </w:tcPr>
          <w:p>
            <w:pPr>
              <w:keepNext w:val="0"/>
              <w:keepLines w:val="0"/>
              <w:suppressLineNumbers w:val="0"/>
              <w:spacing w:before="0" w:beforeAutospacing="0" w:after="0" w:afterAutospacing="0" w:line="260" w:lineRule="exact"/>
              <w:ind w:left="0" w:right="0"/>
              <w:jc w:val="center"/>
              <w:rPr>
                <w:rFonts w:ascii="宋体" w:hAnsi="宋体"/>
                <w:szCs w:val="21"/>
              </w:rPr>
            </w:pPr>
            <w:r>
              <w:rPr>
                <w:rFonts w:hint="eastAsia" w:ascii="宋体" w:hAnsi="宋体"/>
                <w:szCs w:val="21"/>
              </w:rPr>
              <w:t>35分</w:t>
            </w:r>
          </w:p>
        </w:tc>
      </w:tr>
    </w:tbl>
    <w:p>
      <w:pPr>
        <w:jc w:val="left"/>
        <w:rPr>
          <w:rFonts w:ascii="宋体" w:hAnsi="宋体" w:cs="F14"/>
          <w:kern w:val="0"/>
          <w:szCs w:val="21"/>
        </w:rPr>
      </w:pPr>
      <w:r>
        <w:rPr>
          <w:rFonts w:hint="eastAsia" w:ascii="宋体" w:hAnsi="宋体"/>
          <w:szCs w:val="21"/>
        </w:rPr>
        <w:t xml:space="preserve">    注：</w:t>
      </w:r>
      <w:r>
        <w:rPr>
          <w:rFonts w:hint="eastAsia" w:ascii="宋体" w:hAnsi="宋体" w:cs="F14"/>
          <w:kern w:val="0"/>
          <w:szCs w:val="21"/>
        </w:rPr>
        <w:t>招标文件要求提交的与评价指标体系相关的各类有效资料，投标人如未按要求提交的，该项评分为零分。</w:t>
      </w:r>
      <w:bookmarkStart w:id="29" w:name="_Hlt320260453"/>
      <w:bookmarkEnd w:id="29"/>
      <w:bookmarkStart w:id="30" w:name="_Hlt320261656"/>
      <w:bookmarkEnd w:id="30"/>
    </w:p>
    <w:p>
      <w:pPr>
        <w:pStyle w:val="185"/>
        <w:spacing w:before="360"/>
        <w:ind w:left="2" w:firstLine="3573" w:firstLineChars="1271"/>
        <w:rPr>
          <w:rStyle w:val="50"/>
          <w:rFonts w:ascii="Cambria" w:hAnsi="Cambria"/>
          <w:b/>
          <w:kern w:val="0"/>
          <w:szCs w:val="24"/>
        </w:rPr>
      </w:pPr>
      <w:bookmarkStart w:id="31" w:name="_Toc121326169"/>
      <w:bookmarkStart w:id="32" w:name="_Toc398196949"/>
      <w:r>
        <w:rPr>
          <w:rStyle w:val="50"/>
          <w:rFonts w:hint="eastAsia" w:ascii="Cambria" w:hAnsi="Cambria"/>
          <w:b/>
          <w:kern w:val="0"/>
          <w:szCs w:val="24"/>
        </w:rPr>
        <w:t>第三章用户需求书</w:t>
      </w:r>
      <w:bookmarkEnd w:id="31"/>
    </w:p>
    <w:p>
      <w:pPr>
        <w:pStyle w:val="101"/>
        <w:tabs>
          <w:tab w:val="left" w:pos="1290"/>
        </w:tabs>
        <w:ind w:firstLine="422"/>
        <w:rPr>
          <w:rFonts w:asciiTheme="minorEastAsia" w:hAnsiTheme="minorEastAsia" w:eastAsiaTheme="minorEastAsia"/>
          <w:b/>
          <w:sz w:val="21"/>
          <w:szCs w:val="21"/>
        </w:rPr>
      </w:pPr>
      <w:r>
        <w:rPr>
          <w:rFonts w:hint="eastAsia" w:asciiTheme="minorEastAsia" w:hAnsiTheme="minorEastAsia"/>
          <w:b/>
          <w:sz w:val="21"/>
          <w:szCs w:val="21"/>
        </w:rPr>
        <w:t>一、</w:t>
      </w:r>
      <w:r>
        <w:rPr>
          <w:rFonts w:hint="eastAsia" w:asciiTheme="minorEastAsia" w:hAnsiTheme="minorEastAsia" w:eastAsiaTheme="minorEastAsia"/>
          <w:b/>
          <w:sz w:val="21"/>
          <w:szCs w:val="21"/>
        </w:rPr>
        <w:t>项目内容：</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番禺中心医院医疗集团包括广州市番禺区中心医院（院本部）及广州市番禺区第七人民医院（东院区），两个院区分别设置了饭堂，现对两个饭堂的委托运营服务进行整体招标确定一家承包经营商，供应商必须同时就项目整体进行投标，不得分拆。中标供应商需分别与广州市番禺区中心医院及广州市番禺区第七人民医院签订合同。</w:t>
      </w:r>
    </w:p>
    <w:p>
      <w:pPr>
        <w:pStyle w:val="101"/>
        <w:ind w:firstLine="422"/>
        <w:rPr>
          <w:rFonts w:asciiTheme="minorEastAsia" w:hAnsiTheme="minorEastAsia" w:eastAsiaTheme="minorEastAsia"/>
          <w:b/>
          <w:sz w:val="21"/>
          <w:szCs w:val="21"/>
        </w:rPr>
      </w:pPr>
      <w:r>
        <w:rPr>
          <w:rFonts w:hint="eastAsia" w:asciiTheme="minorEastAsia" w:hAnsiTheme="minorEastAsia" w:eastAsiaTheme="minorEastAsia"/>
          <w:b/>
          <w:sz w:val="21"/>
          <w:szCs w:val="21"/>
        </w:rPr>
        <w:t>二、项目概述</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广州市番禺区中心医院为三级甲等综合医院，开放床位</w:t>
      </w:r>
      <w:r>
        <w:rPr>
          <w:rFonts w:asciiTheme="minorEastAsia" w:hAnsiTheme="minorEastAsia" w:eastAsiaTheme="minorEastAsia"/>
          <w:szCs w:val="21"/>
        </w:rPr>
        <w:t>1463</w:t>
      </w:r>
      <w:r>
        <w:rPr>
          <w:rFonts w:hint="eastAsia" w:asciiTheme="minorEastAsia" w:hAnsiTheme="minorEastAsia" w:eastAsiaTheme="minorEastAsia"/>
          <w:szCs w:val="21"/>
        </w:rPr>
        <w:t>张，日均门诊量约6500人次，饭堂建筑面积约2500平方米；广州市番禺区第七人民医院开放床位</w:t>
      </w:r>
      <w:r>
        <w:rPr>
          <w:rFonts w:asciiTheme="minorEastAsia" w:hAnsiTheme="minorEastAsia" w:eastAsiaTheme="minorEastAsia"/>
          <w:szCs w:val="21"/>
        </w:rPr>
        <w:t>157</w:t>
      </w:r>
      <w:r>
        <w:rPr>
          <w:rFonts w:hint="eastAsia" w:asciiTheme="minorEastAsia" w:hAnsiTheme="minorEastAsia" w:eastAsiaTheme="minorEastAsia"/>
          <w:szCs w:val="21"/>
        </w:rPr>
        <w:t>张，日均门诊量约800人次，饭堂约300平方米。两单位日总就餐量约3500人次，服务对象主要为住院患者及家属、医院员工、院内第三方工作人员及院内其他人员等，供餐类别主要为住院患者营养餐、工作人员工作餐等。</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投标方须具有合法的《食品经营许可证》及具有2年以上团餐经营经验。</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(一)项目名称：番禺中心医院医疗集团饭堂委托运营服务采购项目</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经营服务范围：按医院饭堂卫生经营许可证范围经营，不得超出经营范围，投标人负责其餐饮场所的餐饮卫生许可证的相关续期变更申报验收等手续及其费用。饭堂以营养配餐、大众餐饮及地方特色风味搭配，主要面向员工及病患提供餐饮服务，要体现公益性公立医院饭堂的公益性、服务性，饭菜价格低于周边社会餐饮同等水平；同时需具备提供特殊病患营养配餐和工作围餐服务的能力。</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(三)★投标人必须对项目进行整体投标，不允许仅对其中部分内容进行投标。</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(四)运营服务期限：自2023年5月1日至2026年4月30日。</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(五)服务模式：投标人在合同期内，以自主经营、自负盈亏的方式进行运营，对饭堂运营全面负责。</w:t>
      </w:r>
    </w:p>
    <w:p>
      <w:pPr>
        <w:spacing w:line="273"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投标人必须承诺投入广州市番禺区中心医院饭堂改造及环境提升不少于395万元（RMB）的资金，投入不少于50万元（RMB）的资金对现有设备进行维护和更新。投标人必须承诺投入广州市番禺区第七人民医院饭堂投入不少于20万元（RMB）的资金对运营服务的饭堂进行改造。在招标人对应场所现有设备、设施的基础上，投标人需按招标方要求提交投入资金方案。投入设施设备均应为新购置的全新设备，从2023年5月1日起3个月内按招标人要求完成场地改造和设施设备的投入，所有改造和投入的设施设备均须经招标人验收合格后才可投入使用，投标人需在投标文件中对改造方案、设备设施投入、完成时间等做出书面承诺和制订具体方案。项目到期后，根据招标文件、投标文件、投入方案及补充协议等投入的所有物资及装修等归招标方所有；所投入金额涉及工程</w:t>
      </w:r>
      <w:r>
        <w:rPr>
          <w:rFonts w:hint="eastAsia" w:ascii="宋体" w:hAnsi="宋体" w:cs="宋体"/>
          <w:szCs w:val="21"/>
        </w:rPr>
        <w:t>及设施设备的以招标方指定的第三方评审机构出具的评审报告为准</w:t>
      </w:r>
      <w:r>
        <w:rPr>
          <w:rFonts w:hint="eastAsia" w:asciiTheme="minorEastAsia" w:hAnsiTheme="minorEastAsia" w:eastAsiaTheme="minorEastAsia"/>
          <w:szCs w:val="21"/>
        </w:rPr>
        <w:t>（提供承诺函）。</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七)★投标人在经营过程中，不得存在转包、分包或挂靠经营行为，一经发现属违约行为，将勒令限期整改，限期结束仍未按招标人要求整改则直接解除合同；或者直接解除合同并责令限期退出；因投标人违约行为而解除合同，不予退还经营风险保证金，同时对投标人已发生的投入，招标人不作任何赔付。</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(八)招标人始终拥有对本项目的最终管理权。投标人在日常运营工作中应遵守招标人制定的有关规章制度，保障饭堂食品安全。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九)投标人需承诺广州市番禺中心医院饭堂和广州市番禺区第七人民医院饭堂在2023年5月1日起提供双方合同约定的餐饮服务，同时投标人须制定符合招标人要求的饭堂改造期间的餐饮保障方案，保证改造期间提供正常餐饮服务。</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(十)投标人具备完善的管理制度和丰富的餐饮管理经验，诚信度高，安全意识强，管理团队稳定，运营本项目的员工人数应与其经营规模及服务相适应。</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(十一)投标人熟悉了解综合性三甲医院餐饮服务的规律，认知公益性公立医院餐饮服务的公益性、保障性、时效性、不确定性等特征，注重社会效益，履行保障、健康、营养辅助的职责。</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(十二) 中标方须提交《项目实施方案》，包括但不限于《餐饮种类及定价方案》、《食堂改造方案》、《服务提升方案》、《信息化服务方案》、《应急供餐方案》（根据招标人质量要求，在4小时内指定地点保障提供每餐3500人次以上特殊应急供餐）等内容，中标方中标后经招标人确认后实施。合同期内因实际需要调整方案的，经招标人确认《项目实施补充方案》后实施。</w:t>
      </w:r>
    </w:p>
    <w:p>
      <w:pPr>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三、需求描述</w:t>
      </w:r>
    </w:p>
    <w:p>
      <w:pPr>
        <w:ind w:firstLine="422" w:firstLineChars="200"/>
        <w:rPr>
          <w:rFonts w:asciiTheme="minorEastAsia" w:hAnsiTheme="minorEastAsia" w:eastAsiaTheme="minorEastAsia"/>
          <w:b/>
          <w:bCs/>
          <w:szCs w:val="21"/>
        </w:rPr>
      </w:pPr>
      <w:r>
        <w:rPr>
          <w:rFonts w:asciiTheme="minorEastAsia" w:hAnsiTheme="minorEastAsia" w:eastAsiaTheme="minorEastAsia"/>
          <w:b/>
          <w:bCs/>
          <w:szCs w:val="21"/>
        </w:rPr>
        <w:t>(</w:t>
      </w:r>
      <w:r>
        <w:rPr>
          <w:rFonts w:hint="eastAsia" w:asciiTheme="minorEastAsia" w:hAnsiTheme="minorEastAsia" w:eastAsiaTheme="minorEastAsia"/>
          <w:b/>
          <w:bCs/>
          <w:szCs w:val="21"/>
        </w:rPr>
        <w:t>一</w:t>
      </w:r>
      <w:r>
        <w:rPr>
          <w:rFonts w:asciiTheme="minorEastAsia" w:hAnsiTheme="minorEastAsia" w:eastAsiaTheme="minorEastAsia"/>
          <w:b/>
          <w:bCs/>
          <w:szCs w:val="21"/>
        </w:rPr>
        <w:t>)</w:t>
      </w:r>
      <w:r>
        <w:rPr>
          <w:rFonts w:hint="eastAsia" w:asciiTheme="minorEastAsia" w:hAnsiTheme="minorEastAsia" w:eastAsiaTheme="minorEastAsia"/>
          <w:b/>
          <w:bCs/>
          <w:szCs w:val="21"/>
        </w:rPr>
        <w:t>饭堂改造要求</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投标人必须投入一定的资金，对广州市番禺区中心医院和广州市番禺区第七人民医院的饭堂厨房及就餐区域进行统一的改造和环境提升，并承诺在进场后3个月内完成。投入资金必须完成（包括但不限于）以下项目:</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1)广州市番禺区中心医院饭堂改造部分</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①以医院划定的区域为界，把负一层的主要厨房功能区域搬至一楼，重新改造及整理饭堂厨房工作流程，打通改造后的一楼厨房与员工餐厅配餐间通道。改造后的饭堂厨房、食品加工操作流程必须符合食品卫生、消防安全、环境保护等相关法规要求。按实际需要更新购置（包括但不限于）厨房设备、水电设施、煤气管道、炉具、抽油烟设备、新风通风设备、隔油隔污设施、消防安全设备设施、特殊营养餐保障设施等。所有装修改造方案必须符合国家行业主管部门和招标方的要求，并经招标方签名确认同意才能实施（具体方案及投入设备见附件）。</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②职工餐厅及营养餐厅改造提升。中标方需对就餐区域的空调、餐桌、餐椅进行更新，并须符合相关食品安全及疫情防控等管理要求，对天花和墙面进行翻新。</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③饭堂必须安装食品安全视频监控，符合明厨亮灶的规定，并接入到医院安全监控视频系统中。</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④投标人须合理安排改造施工流程，减少对饭堂服务的影响，并须在改造施工期间提供正常的院内餐饮保障服务。</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2）对现有设备进行维护和更新。</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3)广州市番禺区第七人民医院改造部分</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①优化饭堂厨房工作流程，根据流程改造和消防法规对厨房进行改造；更新须更新的设备（包括但不限于冷冻冷藏设备、炉灶等（具体方案及投入设备见附件）。</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②就餐区域环境提升。中标方需对就餐区域的空调、餐桌、餐椅进行更新，对天花和墙面进行翻新。</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招标文件中附件一为初步改造方案，还需深化设计，具体实施以经招标方最后审定签名确认为准。饭堂改造设计、预算清单、设备清单等相关方案必须经过招标方的审核确认后方可施工，且要通过招标方的验收方可投入使用。（实际投入金额以结算评审为准）</w:t>
      </w:r>
    </w:p>
    <w:p>
      <w:pPr>
        <w:ind w:firstLine="316" w:firstLineChars="150"/>
        <w:rPr>
          <w:rFonts w:asciiTheme="minorEastAsia" w:hAnsiTheme="minorEastAsia" w:eastAsiaTheme="minorEastAsia"/>
          <w:b/>
          <w:bCs/>
          <w:szCs w:val="21"/>
        </w:rPr>
      </w:pPr>
      <w:r>
        <w:rPr>
          <w:rFonts w:hint="eastAsia" w:asciiTheme="minorEastAsia" w:hAnsiTheme="minorEastAsia" w:eastAsiaTheme="minorEastAsia"/>
          <w:b/>
          <w:bCs/>
          <w:szCs w:val="21"/>
        </w:rPr>
        <w:t>（二）饭堂服务需求</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1、供餐时间 (招标方可根据季节等实际情况调整) ：</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早餐：06:30-9:00</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午餐：10:30-13:00</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晚餐：16:30-18:30</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根据招标方的实际需求，开设24 小时明档服务 (售卖粥粉面、水饺、云吞，西点、冷热饮品等以满足临时就餐需求) 。</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2、订餐服务要求：</w:t>
      </w:r>
    </w:p>
    <w:p>
      <w:pPr>
        <w:spacing w:line="273" w:lineRule="auto"/>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1）使用招标方的电子收付系统，提供全院线上订餐服务，内容包括 (但不限于) 送餐地点、送餐时间、饭菜品种选择、可以电子付款和充值、有电子满意度调查等功能，堂食点餐采用智能化结算方式 (如芯片识别和图像识别等) ，减少排队时间。</w:t>
      </w:r>
      <w:r>
        <w:rPr>
          <w:rFonts w:hint="eastAsia" w:ascii="宋体" w:hAnsi="宋体" w:cs="宋体"/>
          <w:szCs w:val="21"/>
        </w:rPr>
        <w:t>若招标方提供的电子订餐及收付系统未能满足实际使用需求，投标方须根据实际需求完善相关软、硬件设施的维保、升级和设备增购等。</w:t>
      </w:r>
    </w:p>
    <w:p>
      <w:pPr>
        <w:spacing w:line="273" w:lineRule="auto"/>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2）提供住院患者床旁订餐、电话订餐、线上订餐、送餐以及满足住院患者的其他餐饮服务。确保每天早上和下午派工作人员到病房问餐，落实到每一个床位，问餐员具备一定的营养膳食知识。</w:t>
      </w:r>
      <w:r>
        <w:rPr>
          <w:rFonts w:hint="eastAsia" w:ascii="宋体" w:hAnsi="宋体" w:cs="宋体"/>
          <w:szCs w:val="21"/>
        </w:rPr>
        <w:t>在招标方指定时间内完成各项订餐送餐服务。</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3）超过正常用膳时间的，饭堂应提供应急服务，提供预约订餐和送餐服务(根据实际需要可提供 24 小时服务),为有需要的科室免费配置智能保温柜，让延时就餐的医务人员吃到热的饭菜。配送食品有保温措施，保证送至病房时温度不低于 40℃。</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★3、中标方在项目运营期间必须保证提供早餐、午餐、晚餐、宵夜及应急供餐等餐饮服务。</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各餐时段必须包括标准化早餐、宵夜（一粥或豆浆或牛奶加一粉或面和点心），售价不高于8元；标准化午、晚餐（一净肉（肉＞150g）、一含肉小炒（肉＞50g菜＞100g）、一青菜（＞150g）及一米饭（＞200g）），其中净肉及含肉小炒可选品种每样不少于3种，总体售价不高于13元。职工午餐提供免费老火例汤及佐餐小料供应。中标方须对上述定价及服务出具承诺函。</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5、中标方制定的菜单须经招标方审核同意，根据招标方实际要求补充或修改。饭菜样式要经常更新，每月推出3个或以上新菜品。每周提前公示菜单，滚动推出新菜品，确保满足职工和住院患者的饮食需要。</w:t>
      </w:r>
    </w:p>
    <w:p>
      <w:pPr>
        <w:ind w:firstLine="315" w:firstLineChars="150"/>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、中标方必须因应医院内人群的用餐特殊性，按照招标方要求在医院营养医师的指导下，根据营养处方向医院指定人群提供个性化营养供、送餐服务，不得以任何理由加收其他费用。其中营养膳食要求：</w:t>
      </w:r>
    </w:p>
    <w:p>
      <w:pPr>
        <w:numPr>
          <w:ilvl w:val="0"/>
          <w:numId w:val="3"/>
        </w:numPr>
        <w:spacing w:line="24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在招标方营养科的指导和监督下，根据《临床营养技术操作规范》等有关法规进行治疗饮食的制作，设专职膳食营养管理员，负责将招标方要求及时下达相关岗位人员和协助进行质量控制。</w:t>
      </w:r>
    </w:p>
    <w:p>
      <w:pPr>
        <w:numPr>
          <w:ilvl w:val="0"/>
          <w:numId w:val="3"/>
        </w:numPr>
        <w:spacing w:line="24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需设有特殊治疗膳食灶并配备专人烹调，成立治疗膳食小组，营养科定期对治疗膳食小组及相关人员进行专业知识培训。治疗膳食小组负责特殊治疗膳食 (包括糖尿病膳食、低蛋白膳食、流质膳食等) 的制备，按饮食配方菜单准确称量、接受监督指导，根据医院营养师和临床意见及时改进工作。</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3）配餐员根据住院患者饮食医嘱，提醒和指引住院患者预订治疗膳食，同时负责营养餐的配送。</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4）住院病人普通饮食：结合三级综合医院对住院病人就餐考核的相关标准，中标方负责普通病人饮食食谱编制，营养科负责食谱审核。以确保病人饮食合理搭配，科学用餐。中标方对此不得擅自更改，如遇特殊情况需要修订须经招标方许可。</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5）住院病人治疗饮食：治疗膳食是住院病人饮食的核心内容，它作为某些疾病诊断及治疗的重要辅助手段，贯穿于整个临床医疗过程的始终。中标方须严格执行招标方关于特殊治疗膳食管理要求制餐、配餐。</w:t>
      </w:r>
    </w:p>
    <w:p>
      <w:pPr>
        <w:ind w:firstLine="315" w:firstLineChars="150"/>
        <w:rPr>
          <w:rFonts w:asciiTheme="minorEastAsia" w:hAnsiTheme="minorEastAsia" w:eastAsiaTheme="minorEastAsia"/>
          <w:szCs w:val="21"/>
        </w:rPr>
      </w:pPr>
      <w:r>
        <w:rPr>
          <w:rFonts w:asciiTheme="minorEastAsia" w:hAnsiTheme="minorEastAsia" w:eastAsiaTheme="minorEastAsia"/>
          <w:szCs w:val="21"/>
        </w:rPr>
        <w:t>7</w:t>
      </w:r>
      <w:r>
        <w:rPr>
          <w:rFonts w:hint="eastAsia" w:asciiTheme="minorEastAsia" w:hAnsiTheme="minorEastAsia" w:eastAsiaTheme="minorEastAsia"/>
          <w:szCs w:val="21"/>
        </w:rPr>
        <w:t>、中标方在保证医院特殊用餐人群用餐需求、标准化供餐服务以外，可以向院内人群提供特色档口餐饮服务，肉类、蔬果及副食品销售等增值服务，但必须做到优价优质，整体服务及质量不得低于社会上品牌餐饮企业和零售超市的平均服务水平，价格不得高于社会零售平均价格。（具体对照番禺区内品牌餐饮企业、酒店餐饮服务价格及华润万家、大润发等大型超市价格）。</w:t>
      </w:r>
    </w:p>
    <w:p>
      <w:pPr>
        <w:ind w:firstLine="315" w:firstLineChars="150"/>
        <w:rPr>
          <w:rFonts w:asciiTheme="minorEastAsia" w:hAnsiTheme="minorEastAsia" w:eastAsiaTheme="minorEastAsia"/>
          <w:szCs w:val="21"/>
        </w:rPr>
      </w:pPr>
      <w:r>
        <w:rPr>
          <w:rFonts w:asciiTheme="minorEastAsia" w:hAnsiTheme="minorEastAsia" w:eastAsiaTheme="minorEastAsia"/>
          <w:szCs w:val="21"/>
        </w:rPr>
        <w:t>8</w:t>
      </w:r>
      <w:r>
        <w:rPr>
          <w:rFonts w:hint="eastAsia" w:asciiTheme="minorEastAsia" w:hAnsiTheme="minorEastAsia" w:eastAsiaTheme="minorEastAsia"/>
          <w:szCs w:val="21"/>
        </w:rPr>
        <w:t>、中标方可以在指定地点为招标方员工和病患提供符合卫生要求的临时流动餐车服务，但须服从招标方管理，对招标方提出的更改地点或暂停服务等要求须无条件服从。</w:t>
      </w:r>
    </w:p>
    <w:p>
      <w:pPr>
        <w:ind w:firstLine="315" w:firstLineChars="150"/>
        <w:rPr>
          <w:rFonts w:asciiTheme="minorEastAsia" w:hAnsiTheme="minorEastAsia" w:eastAsiaTheme="minorEastAsia"/>
          <w:szCs w:val="21"/>
        </w:rPr>
      </w:pPr>
      <w:r>
        <w:rPr>
          <w:rFonts w:asciiTheme="minorEastAsia" w:hAnsiTheme="minorEastAsia" w:eastAsiaTheme="minorEastAsia"/>
          <w:szCs w:val="21"/>
        </w:rPr>
        <w:t>9</w:t>
      </w:r>
      <w:r>
        <w:rPr>
          <w:rFonts w:hint="eastAsia" w:asciiTheme="minorEastAsia" w:hAnsiTheme="minorEastAsia" w:eastAsiaTheme="minorEastAsia"/>
          <w:szCs w:val="21"/>
        </w:rPr>
        <w:t>、中标方应该具备应对饭堂突发事件的能力（如：医院饭堂整体封闭、水电断供、人员罢工、疫情防控医院封闭管理等），并提供应急预案。</w:t>
      </w:r>
    </w:p>
    <w:p>
      <w:pPr>
        <w:ind w:firstLine="315" w:firstLineChars="150"/>
        <w:rPr>
          <w:rFonts w:asciiTheme="minorEastAsia" w:hAnsiTheme="minorEastAsia" w:eastAsiaTheme="minorEastAsia"/>
          <w:szCs w:val="21"/>
        </w:rPr>
      </w:pPr>
      <w:r>
        <w:rPr>
          <w:rFonts w:asciiTheme="minorEastAsia" w:hAnsiTheme="minorEastAsia" w:eastAsiaTheme="minorEastAsia"/>
          <w:szCs w:val="21"/>
        </w:rPr>
        <w:t>10</w:t>
      </w:r>
      <w:r>
        <w:rPr>
          <w:rFonts w:hint="eastAsia" w:asciiTheme="minorEastAsia" w:hAnsiTheme="minorEastAsia" w:eastAsiaTheme="minorEastAsia"/>
          <w:szCs w:val="21"/>
        </w:rPr>
        <w:t>、中标方需配合做好与原中标方的交接工作，对符合用工要求并愿意继续在招标方饭堂工作的原有员工优先聘用，并提供交接方案。</w:t>
      </w:r>
    </w:p>
    <w:p>
      <w:pPr>
        <w:ind w:firstLine="315" w:firstLineChars="150"/>
        <w:rPr>
          <w:rFonts w:asciiTheme="minorEastAsia" w:hAnsiTheme="minorEastAsia" w:eastAsiaTheme="minorEastAsia"/>
          <w:szCs w:val="21"/>
        </w:rPr>
      </w:pPr>
      <w:r>
        <w:rPr>
          <w:rFonts w:asciiTheme="minorEastAsia" w:hAnsiTheme="minorEastAsia" w:eastAsiaTheme="minorEastAsia"/>
          <w:szCs w:val="21"/>
        </w:rPr>
        <w:t>11</w:t>
      </w:r>
      <w:r>
        <w:rPr>
          <w:rFonts w:hint="eastAsia" w:asciiTheme="minorEastAsia" w:hAnsiTheme="minorEastAsia" w:eastAsiaTheme="minorEastAsia"/>
          <w:szCs w:val="21"/>
        </w:rPr>
        <w:t>、中标方派驻所有工作人员须服从招标方指挥及协调管理，并配合医院做好各项应急供餐和上级交办餐饮相关任务。</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2</w:t>
      </w:r>
      <w:r>
        <w:rPr>
          <w:rFonts w:hint="eastAsia" w:asciiTheme="minorEastAsia" w:hAnsiTheme="minorEastAsia" w:eastAsiaTheme="minorEastAsia"/>
          <w:szCs w:val="21"/>
        </w:rPr>
        <w:t>、中标方需严格执行中标方的食品安全、消防安全、疫情防控等各项医院管理制度及工作要求，如违反上述制度或要求经招标方书面警告仍拒不整改或整改不到位的，招标方有权终止合同，且对招标方造成财产或声誉损害的，中标方应承担赔偿责任。</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3</w:t>
      </w:r>
      <w:r>
        <w:rPr>
          <w:rFonts w:hint="eastAsia" w:asciiTheme="minorEastAsia" w:hAnsiTheme="minorEastAsia" w:eastAsiaTheme="minorEastAsia"/>
          <w:szCs w:val="21"/>
        </w:rPr>
        <w:t>、中标方需配合医院按时完成政府采购脱贫地区农副产品等工作。</w:t>
      </w:r>
    </w:p>
    <w:p>
      <w:pPr>
        <w:ind w:firstLine="316" w:firstLineChars="150"/>
        <w:rPr>
          <w:rFonts w:asciiTheme="minorEastAsia" w:hAnsiTheme="minorEastAsia" w:eastAsiaTheme="minorEastAsia"/>
          <w:b/>
          <w:bCs/>
          <w:szCs w:val="21"/>
        </w:rPr>
      </w:pPr>
      <w:r>
        <w:rPr>
          <w:rFonts w:hint="eastAsia" w:asciiTheme="minorEastAsia" w:hAnsiTheme="minorEastAsia" w:eastAsiaTheme="minorEastAsia"/>
          <w:b/>
          <w:bCs/>
          <w:szCs w:val="21"/>
        </w:rPr>
        <w:t>（三）饭堂运营管理要求</w:t>
      </w:r>
    </w:p>
    <w:p>
      <w:pPr>
        <w:spacing w:line="273" w:lineRule="auto"/>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★本项目采用全包干的方式运营服务，由中标方负责招标文件对中标方要求的一切事宜及责任，自主经营、自负盈亏。饭堂员工的工资福利、保险等和经营过程中一切费用 (包括但不限于食材 &lt;包括肉、米、油、盐、酱料、蔬菜等&gt; 、水、电、</w:t>
      </w:r>
      <w:r>
        <w:rPr>
          <w:rFonts w:hint="eastAsia" w:ascii="宋体" w:hAnsi="宋体" w:cs="宋体"/>
          <w:szCs w:val="21"/>
        </w:rPr>
        <w:t>空调、照明灯、</w:t>
      </w:r>
      <w:r>
        <w:rPr>
          <w:rFonts w:hint="eastAsia" w:asciiTheme="minorEastAsia" w:hAnsiTheme="minorEastAsia" w:eastAsiaTheme="minorEastAsia"/>
          <w:szCs w:val="21"/>
        </w:rPr>
        <w:t>燃气、消防、垃圾清运、油烟清洗、设备检测维护等) 由中标方负责。中标方因经营管理不当发生食物安全问题或中毒、因人为或其他因素引发的事故及所造成的人员伤亡、财产损失等，其经济责任、法律责任全部由中标方承担，实行一票否决，招标方有权终止合同，且对招标方造成财产或声誉损害的，中标方应承担赔偿责任。中标方按《劳动合同法》相关规定，依法用工，负责办理招标方医院饭堂所有工作人员的劳动用工手续、计划生育管理及工伤意外伤害事故、居住证等事宜，负责员工的招聘、任免、薪资、住宿、福利以及工伤保险、医疗保险、人身意外保险等，且符合国家法律法规规定，中标方员工在院内范围发生用工纠纷、疾病、出现意外伤害及意外事故责任由中标方负责，与招标方无关。中标方的所有员工违反国家计划生育政策的一切后果由中标方承担。</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根据《食品安全法》及GB31654-2021食品安全国家标准《餐饮服务通用卫生规范》等国家法律法规及地方规章要求和招标方实际，建立并不断完善原料控制、餐用具清洗消毒、餐饮服务过程控制、从业人员健康管理、从业人员培训、食品安全自查、进货查验和记录、食品留样、场所及设施设备清洗消毒和维修保养、食品安全信息追溯、消费者投诉处理等保证食品安全的规章制度，并制定食品安全突发事件应急处置方案。加强恒常监管，确保食品采购、加工、销售及收集清运各环节符合食品安全管理相关规定。根据《餐饮服务通用卫生规范》规定，招标方饭堂属于医疗机构食堂，中标方应成立饭堂专项管理架构，设立驻点服务团队，项目负责人要求大专以上学历，从事相关行业3年以上，具备相似项目的管理经验，同时须配备国家认可资格的营养师、厨师、专职高级食品安全管理人员等专业人员。</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2、招标方按现状给中标方经营。中标方须承诺对现状的设施设备进行有效的维护，对不符合使用安全要求的进行有效维修，必要时应更新相关设施设备。新增的设施设备由中标方投入。在饭堂范围内的设施设备运行而造成安全事故的，由中标方负全部责任。</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3、饭堂中标方是饭堂消防安全第一责任人。按照《消防法》等消防相关法律法规及医院消防管理规定，做好招标方饭堂内部各项消防安全管理工作，设定消防安全管理员，确保相关消防设施设备的有效。每年对全员进行消防安全知识培训、开展消防演练，做好饭堂区域内餐饮消防设施设备的建设投入与维保</w:t>
      </w:r>
      <w:r>
        <w:rPr>
          <w:rFonts w:hint="eastAsia" w:asciiTheme="minorEastAsia" w:hAnsiTheme="minorEastAsia"/>
          <w:szCs w:val="21"/>
        </w:rPr>
        <w:t>（包括原有的和中标方新增的消防设施、设备）</w:t>
      </w:r>
      <w:r>
        <w:rPr>
          <w:rFonts w:hint="eastAsia" w:asciiTheme="minorEastAsia" w:hAnsiTheme="minorEastAsia" w:eastAsiaTheme="minorEastAsia"/>
          <w:szCs w:val="21"/>
        </w:rPr>
        <w:t>，操作区燃气报警装置更新及维护管理、燃气设施设备检测及维护管理，确保医院饭堂的消防安全。招标方发现中标方在饭堂管理中存在安全隐患，将发出整改通知书。中标方对安全隐患整改不到位超过三次的，或发生人员伤亡或过火面积超过10平方米或达到安全事故级别，招标方有权单方面终止合同，并由中标方承担此产生的一切损害赔偿。中标方所有派驻人员须经过公安部门筛查无犯罪或不良行为记录，符合《食品从业人员健康检查的管理办法》（粤食药监规〔2017〕2号）及其他食品安全及医院内感染控制相关管理要求才能录用上岗，并遵守国家、医院的相关规章制度和管理规定，不得从事违法犯罪活动及违反医院管理要求。招标方对中标方员工工作质量有监督和考核的权利，招标方有权要求中标方把不符合招标方要求的相关人员调离招标方饭堂运营项目。</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4、中标方为招标方饭堂食品安全疫情防控第一责任人，严格执行上级相关防控文件要求，不得在招标方饭堂采购、使用或存储进口生鲜、冷冻畜禽肉类、水产品及其制品，采用本地食材；不直接食用各类生冷海鲜（如生鱼片、生虾等）。所有食物都要彻底清洗干净，经过高温煮熟透。加强各类食材从采购源头、运输环节等，要严格遵守操作规程，加强检验检疫，实行链条闭环管理，完善溯源机制。</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5、中标方需在中标后为本项目购买食品安全类责任险，提供食品安全保障。</w:t>
      </w:r>
    </w:p>
    <w:p>
      <w:pPr>
        <w:ind w:firstLine="315" w:firstLineChars="150"/>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根据《食品安全法》及GB31654-2021食品安全国家标准《餐饮服务通用卫生规范》等国家法律法规及地方规章要求，中标方须确保各类原料采购符合国家相关规定，并结合招标方就餐人群特殊性，对主要原材料（米、油、蔬果、肉类及相关物料）向有营业或生产资质供货商采购，建立固定的供货渠道，与固定供货者签订供货协议，做好采购索证索票、进货查验和采购记录。按招标方要求提交全部供货商清单及相应产品合格证明文件与招标方备案，并配合招标方进行溯源检查。中标方在经营过程中所有的食品采取统一采购方式，中标方采购的主副食品应符合国家规定的生产标识、产品质检合格证书、食品生产许可证、检测报告（含重金属检测项目）等。招标方饭堂食用的蔬菜、瓜果、肉类等，必须在具有检测条件的生产基地或市场购买。具体原材料质量要求如下：</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1）禽类要求</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新鲜光禽：光禽是指经宰杀去毛以后的鸡、鸭、鹅等禽类，质量好坏，是否新鲜，主要根据以下几方面来判别：</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（1）喙有光泽、干燥、无粘液；</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（2）口腔：新鲜的光禽口腔粘膜呈淡玫瑰色，有光泽、洁净、无异味；</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（3）新鲜的光禽眼睛明亮，充满整个眼窝；</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（4）皮肤：新鲜的光禽皮肤上毛孔隆起，表面干燥而紧缩，呈乳白色或淡黄色，稍带微红，无异味；</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（5）脂肪：新鲜的光禽脂肪呈淡黄色或黄色，有光泽，无异味；</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肌肉：新鲜光禽肌肉结实，有弹性，有光泽，颈、腿部肌肉呈玫瑰红色。变质的光禽肌肉松驰，湿润发粘，色变暗红，有明显腐败气味；</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2）活水产类要求：鱼体健康，体态匀称，游动活泼，体色鲜明，体表光滑，眼睛亮丽，鳞片鳍条完好。无添加孔雀石绿、无汽油味残留。</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3）肉类要求：</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（1）每批鲜猪肉、猪骨可以是广州市及周边城市政府指定的肉联厂发出的放心肉并提供放心肉证，并注明保鲜期。</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2）所供货物应保持较好的外观和质量等级，符合国家食品部门的标准，鲜肉确保每日新鲜、保证无异味、无霉烂变质，确保肉类无残留淋巴等不宜食用的组织，肉类保证来源于正规肉联厂，供货时须提交肉联厂的验收单及当批次有效的动物检疫合格证、肉品品质检验合格证明复印件（供货时原件备查）。每次供货时须提供分割肉销售凭据、采购货品的检验报告及干货类的送货单上注明保质日期。（须提供承诺函）</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4）蔬菜类要求</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（1）属季节问题，若出现品种不能满足招标方需求的情况，可与招标方协商调换相应类别的品种（按叶菜、瓜菜等进行分类）。</w:t>
      </w:r>
    </w:p>
    <w:p>
      <w:pPr>
        <w:spacing w:line="273" w:lineRule="auto"/>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（2）蔬菜、瓜、果必须是优质货品，不得含有残留农药或污染物，必须保证所供应的蔬菜符合卫生标准，同时承担因所供蔬菜问题引起的一切事故后果。</w:t>
      </w:r>
      <w:r>
        <w:rPr>
          <w:rFonts w:hint="eastAsia" w:ascii="宋体" w:hAnsi="宋体" w:cs="宋体"/>
          <w:szCs w:val="21"/>
        </w:rPr>
        <w:t>每天采购蔬果须提供合格的农药残留检测报告，同时每周按招标方要求送市场监管部门复检。</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3）蔬菜类应保持较好的色泽和新鲜度,严禁采购有害、有毒、腐烂变质、酸败、霉变、生虫、污垢不洁、混有异物或其他感官性状异常的食品。蔬菜应无损伤、腐烂现象，无寄生虫或已受虫害现象。禁止采购超过保质期限的食品</w:t>
      </w:r>
      <w:r>
        <w:rPr>
          <w:rFonts w:asciiTheme="minorEastAsia" w:hAnsiTheme="minorEastAsia" w:eastAsiaTheme="minorEastAsia"/>
          <w:szCs w:val="21"/>
        </w:rPr>
        <w:t>。</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5）水果类质量要求：</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（1）水果供应链要求：所有水果的来源必须清晰。</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（2）所提供的水果应当色泽光鲜、水润饱满、无腐烂，果品表面清洁新鲜，无病虫害和机械损伤，带有芳香味。</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6）大米质量标准</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（1）米类执行标准： GB 1354-2009（本标准中的真菌毒素限量指标被GB 2761-2011 食品安全国家标准食品中真菌毒素限量中的相应指标代替。本标准中的4.3.3农药最大残留限量部分被GB 2763-2012 食品安全国家标准食品中农药最大残留限量中相应指标替代）标准一等米，不含添加剂</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（2）大米的质量标准：除符合标准一等米外，要求：</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碎米总量≤17%（国家标准：≤35%）</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小碎米总量≤2%（国家标准：≤2.5%）</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不完善粒≤3.5%（国家标准：≤4.0%）</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黄米粒按国家标准执行。</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（3）有“QS”标志，标明加工厂名称、品名、生产日期、保持期或保存期，供货时的剩余保质期不少于三分之二，质量等级、产品标准号、产品合格证，质量符合米类执行标准。</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（4）具有固有色泽和香味，无污染、无虫害，色泽、气味、口味正常，无异味或霉味（霉变），无虫蛀结块挂丝或杂质异等，符合国家粮食卫生标准。</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7）油类质量要求：</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每个食用油品种必须色泽好，透明度高，无浑浊，无沉淀和悬浮物，粘度小，无分层现象，气味正常，无酸臭异味。严格执行国家质量标准及卫生安全标准，色泽、气味、霉变、真菌毒素、重金属污染物、农药等严格控制在国家标准范围内（原粮及成品粮色泽、气味必须正常。霉变粒不得超过2％。真菌毒素：黄曲霉毒素B1 （5μg/kg～20μg/kg）、脱氧雪腐镰刀菌烯醇（≤1000μg/kg）、玉米赤霉烯酮（≤60μg/kg）、赭曲霉毒素A（≤5μg/kg）。重金属污染物：铅（≤0.2mg/kg）、镉(0.1 mg/kg～0.2 mg/kg)、汞（≤0.02 mg/kg）、无机砷（0.1 mg/kg～0.2 mg/kg）。农药：对磷化物、马拉硫磷等140余种农药规定了最大残留限量。并根据招标人需求的食用油等级保证用油质量。</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8）干货、副食品、调味品要求</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干货、副食品的质量基本标准要求符合国家行业标准，干爽、不霉烂、整齐、均匀、完整、无虫蛀、无杂质，保持应有的色泽。确保产品质量稳定，保证营养丰富、绿色安全、海味浓郁、易存放、食用方便，保质期长。从加工、包装、运输、贮存到销售全部符合国家规定标准。招标方可根据实际情况对需要的干货、副食品进行品质抽检，对质量未达到国家标准的副食品招标方有权拒绝接受。</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（2）所有副食品调味料均为正规厂家生产，包装完整，所有产品有“QS”标志，标明商品名称、规格、生产商、产地、生产日期、保质期或保存期。</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3）酱油：合格的酱油颜色比较红、亮，有光泽、透明，把这酱油倒在瓶子里后，摇一下，合格酱油产生的泡沫非常细腻，保持持久，挂碗现象非常好，有一种发黏的感觉；不合格的酱油泡沫比较大，很容易散去，挂碗现象不好，很容易滑落。</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（4）味精：无色至白色结晶或粉末，具有特殊的鲜味，无异味，无肉眼可见杂质。食醋具有正常食醋的色泽、气味和滋味，不涩，无其他不良气味与异味，无浮物，不浑浊，无沉淀，无异物，无醋鳗、醋虱。</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（5）酱腌菜：具有酱腌菜固有的色、香、味，无杂质，无其他不良气味，不得有霉斑白膜。</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（6）酱类食品：具有正常酿造酱的色泽、气味和滋味，不涩，无其他不良气味，不得有酸、苦、焦糊及其它异味、异物。</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（7）淀粉制品：具有各自品种固有的形态和色泽，不酸、不粘、不发霉，无变质，无异味，无杂质，口尝无砂质。</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（8）食盐：结晶整齐一致，坚硬光滑，呈透明或半透明，不结块，无反卤吸潮现象，无杂质，沾取少许尝试具有纯正的咸味。</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9）鸡蛋：蛋壳清洁完整，色泽鲜明，无破损、裂纹，无霉斑，灯光透视时，整个蛋呈桔黄色至橙红色，蛋黄不见或略见阴影，没有霉味、酸味，臭味等不良气味，打开后蛋黄凸起、完整、有韧性，蛋白澄清、透明、稀稠分明，无异味。</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（10）皮蛋：外表泥状包料完整、无霉斑，包料除掉后蛋壳完整无损，灯光透照蛋内容物凝固不动，打开观察，整个蛋凝固、不粘壳、清洁而有弹性，呈半透明的棕黄色，闻起来有芳香，无辛辣气。</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11）咸蛋：蛋壳完整无损，无裂纹或霉斑，摇动时有轻度水荡漾感觉，灯光透视蛋黄凝结、呈橙黄色且靠近蛋壳，蛋清呈白色水样透明，生蛋打开可见蛋清稀薄透明，蛋黄呈红色或淡红色，浓缩粘度增强，但不硬固，煮熟后打开，可见蛋清白嫩，蛋黄口味有细沙感，富于油脂，品尝则有咸蛋固有的香味。</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（12）面粉：色泽呈白色或微黄色，不发暗，无杂质的颜色，呈细粉末状，不含杂质，手指捻捏时无粗粒感，无虫子和结块，置于手中紧捏后放开不成团，具有面粉的正常气味，无其他异味。</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（13）豆腐：豆腐呈均匀的乳白色或淡黄色，稍有光泽，块形完整，软硬适度，富有一定的弹性，质地细嫩，结构均匀，无杂质，具有豆腐特有的香味，取样品品尝时口感细腻鲜嫩，味道纯正清香。</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14）豆腐泡：为金黄色或棕黄色，色彩鲜艳而有光泽，块形整齐，有弹性，皮脆，内质呈蜂窝状，不粘不散，无杂质，具有豆腐泡特有的清香风味，无其他任何不良气味，取样品细细咀嚼，外皮酥脆适口，泡内软嫩，咸香适度，具有豆腐泡固有的滋味。</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（15）腐竹：为枝条或片叶状，质脆易折，条状折断有空心，无霉斑、杂质、虫蛀。呈淡黄色，有光泽。具有腐竹固有的香味，无其他任何异味，取样品品尝其滋味，具有腐竹固有的鲜香滋味。</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16）腐乳：红腐乳表面呈红色或枣红色，内部呈杏黄色，色泽鲜艳，有光泽。白腐乳外表呈乳黄色。块形整齐均匀，质地细腻，无霉斑、霉变及杂质。具有各品种的腐乳特有的香味或特征气味，无任何其他异味，滋味鲜美，咸淡适口，无任何其他异味。</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（17）大豆：大豆根据其种皮颜色和粒形可分为黄大豆、青大豆、黑大豆、其他大豆(赤色、褐色、棕色等) 和饲料豆(秣食豆)五类。大豆皮色呈各种大豆固有的颜色，光彩油亮，洁净而有光泽，颗粒饱满，整齐均匀，无虫蛀粒，无杂质，无霉变。</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18）花生：果荚呈土黄色或白色，果仁呈各不同品种所特有的颜色，色泽分布均匀一致，带荚花生和去荚果仁均颗粒饱满、形态完整、大小均匀，子叶肥厚而有光泽，无杂质，具有花生特有的气味、香味，无任何异味。</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（19）食糖：食糖根据经营习惯分为白糖、红糖、冰糖、方糖等。</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①白糖的感官鉴别：色泽洁白明亮，有光泽，具有白糖的正常气味，无酸味、酒味或其他外来气味。</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白砂糖：颗粒大如砂粒，晶粒均匀整齐，晶面明显，无碎末，糖质坚硬。</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绵白糖：颗粒细小而均匀，质地绵软、潮润。</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冰糖：块形完整，个粒均匀，结晶组织严密，透明或半透明，无破碎。</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方糖：呈正六面体状，表面平整，无裂纹，铁边，断角，无突出砂粒，无霉斑。</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凡是白糖都应干燥，晶粒松散，不粘手，不结块，无肉眼可见的杂质，白糖的水溶液应清晰透明无杂质。</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②红糖的感官鉴别</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红糖可细分为赤砂糖和红糖两种，其中赤砂糖是机制未经洗蜜的糖，红糖是用手工制成的土糖。因红糖的颜色有红褐、青褐、黄褐、赤红、金黄、淡黄、枣红等多种，很不一致，故凭色泽难以识别红糖的质量，应将感官鉴别的侧重点放在组织状态、气味、滋味三个指标上。呈晶粒状或粉末状，干燥而松散，不结块，不成团，杂质，其水溶液清晰，无沉淀，无悬浮物，具有甘蔗汁的清香味，无有酒味、酸味或其他外来不良气味，口味浓甜带鲜，微有糖蜜味，无焦苦味或其他外来异味。</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20）辛辣料：辛辣料是采用植物果实和种子粉碎而配制成的天然植物香料，如五香粉、胡椒粉、花椒粉、咖喱粉、芥末粉等，辛辣料的主要原料有八角、花椒、胡椒、桂皮、小茴香、大茴香、辣椒、孜然等。辛辣料呈干燥状，具有该种香料植物所特有的色、香、味，没有不纯正的气味和味道，无发霉味或其他异味。</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8）冷冻食品类要求：</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冷冻食品类产品，中标方须清晰地列出产品品牌、名称、制造商名称和厂址、型号、生产日期和保质期限、包装类型、包装方式、包装净重量、含冰量等相关参数，且包装箱上必须贴有QS标志。包装：容器(框、箱、袋)要求清洁、干燥、牢固、透气，无污染、无异味、无霉变现象。严禁采购有害、有毒、腐烂变质、酸败、霉变、生虫、污垢不洁、混有异物或其他感官性状异常的食品。禁止采购超过保质期限的食品。</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2）冷冻水产类食品解冻后净重量不少于82%，冷冻肉类食品解冻后净重量不少于92%，冷冻禽类食品解冻后净重量不少于90%，须解冻4小时以内（室温20℃）使用。所有冷冻食品要求清晰列出产品品牌、规格、类型、包装方式、包装净重、含冰量等相关参数，且包装箱上必须贴有“QS”生产许可标识。</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6、中标方应做好食品留样、台帐和动物检疫证登记，生、熟食品分开，接受招标方和政府职能部门的检查和监督。中标方需认真落实卫生责任制，层层把好卫生关，经常进行自检和监督，及时处理违反卫生条例的行为。具体要求：</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1)食品卫生由专人管理和负责。</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2)餐饮服务许可证应悬挂于醒目处，从业人员应体检、培训合格后，持有效的健康证方可上岗。</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3)从业人员每年体检一次，凡患有传染病都不得参加接触食品工作。</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4)工作人员上班时应穿戴整洁的工作衣帽，并保持个人卫生。</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5)做好食堂内外环境卫生，做到每餐一打扫，每天一清洗。</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6)食用工具每天用后应洗净，保持洁净，食（用）具做到“一刮、二洗、三过清、四消毒、五保洁。”</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7)不购进、不加工、不出售腐烂变质、有毒、有害、超过保质期的食物。</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8)生、熟食品、成品、半成品的加工和存放要有明显标记，分类存放，不得混放。</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9)搞好操作间卫生，冷菜配餐所用工具必须专用，并有明显标志。</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10)保持仓库整洁，食品应做到有分类、有标志，离地离墙保管。</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11)食堂要有防蝇、防鼠等措施，严防生物污染。</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12)及时做好垃圾分类及清理，垃圾分类桶应有盖和标记，搞好“三防”工作。</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13)要求食堂管理人员每日自查一次，医院定期及不定期进行抽检，发现问题及时上报和处理。</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ab/>
      </w:r>
      <w:r>
        <w:rPr>
          <w:rFonts w:hint="eastAsia" w:asciiTheme="minorEastAsia" w:hAnsiTheme="minorEastAsia" w:eastAsiaTheme="minorEastAsia"/>
          <w:b/>
          <w:bCs/>
          <w:szCs w:val="21"/>
        </w:rPr>
        <w:t>（四）食堂场地及设备使用和维护要求</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1.场地用途为餐饮加工和销售服务。除双方另有约定外，中标方不得任意改变场地用途，或租赁给第三方使用。同时，未经招标方同意，中标方不得擅自对房屋、设施做任何改动（包括在墙上打洞）。</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2.中标方在经营期间违反合同约定场地使用规定，不配合管理或给招标方造成负面影响情节严重经查属实的，招标方有权立即解除合同并要求中标方赔偿相关损失。</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3、饭堂设施设备</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1)招标人将饭堂内原有的厨房、餐厅设备提供给中标方使用、也可根据医院需要增加设备。</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2)要按照招标方提供的厨房、餐厅设备清单，逐件核收，签字确认，中标方承担设备的维护及养护责任。</w:t>
      </w:r>
    </w:p>
    <w:p>
      <w:pPr>
        <w:spacing w:line="273" w:lineRule="auto"/>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3)中标方应对经营场所内的</w:t>
      </w:r>
      <w:r>
        <w:rPr>
          <w:rFonts w:asciiTheme="minorEastAsia" w:hAnsiTheme="minorEastAsia" w:eastAsiaTheme="minorEastAsia"/>
          <w:szCs w:val="21"/>
        </w:rPr>
        <w:t>所有</w:t>
      </w:r>
      <w:r>
        <w:rPr>
          <w:rFonts w:hint="eastAsia" w:asciiTheme="minorEastAsia" w:hAnsiTheme="minorEastAsia" w:eastAsiaTheme="minorEastAsia"/>
          <w:szCs w:val="21"/>
        </w:rPr>
        <w:t>设施设备</w:t>
      </w:r>
      <w:r>
        <w:rPr>
          <w:rFonts w:hint="eastAsia" w:ascii="宋体" w:hAnsi="宋体" w:cs="宋体"/>
          <w:szCs w:val="21"/>
        </w:rPr>
        <w:t>（包含空调、照明、厨具等）</w:t>
      </w:r>
      <w:r>
        <w:rPr>
          <w:rFonts w:hint="eastAsia" w:asciiTheme="minorEastAsia" w:hAnsiTheme="minorEastAsia" w:eastAsiaTheme="minorEastAsia"/>
          <w:szCs w:val="21"/>
        </w:rPr>
        <w:t>进行定期维护和保养，其中对厨具设备必须每年进行不少于二次的检修和清理；抽排系统的风管每年不少于二次的疏通清洁；下水道保持通畅，每周不少于一次化油池的清理。室内燃气管道保护层必须每年翻新不少于一次，并由有资质的专业公司负责施工。合同期间所有设施设备的维修养护费用由中标方负责。</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4)合同期满或合同中途终止，要对资产进行清点移交，发现遗失或非正常损坏的，中标方要按招标方规定承担赔偿。</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5）合同期满或合同中途终止，中标方按合同要求投入的设施设备归招标人所有。</w:t>
      </w:r>
    </w:p>
    <w:p>
      <w:pPr>
        <w:ind w:firstLine="316" w:firstLineChars="150"/>
        <w:rPr>
          <w:rFonts w:asciiTheme="minorEastAsia" w:hAnsiTheme="minorEastAsia" w:eastAsiaTheme="minorEastAsia"/>
          <w:b/>
          <w:bCs/>
          <w:szCs w:val="21"/>
        </w:rPr>
      </w:pPr>
      <w:r>
        <w:rPr>
          <w:rFonts w:hint="eastAsia" w:asciiTheme="minorEastAsia" w:hAnsiTheme="minorEastAsia" w:eastAsiaTheme="minorEastAsia"/>
          <w:b/>
          <w:bCs/>
          <w:szCs w:val="21"/>
        </w:rPr>
        <w:t>（五）监督管理要求</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中标方须做好院内餐饮保障服务工作，接受招标方监督检查，不断提升员工和病患的满意度。</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1.医院饭堂满意度调查低于80分的，警告一次并扣罚20000元招标方应付餐费。每半年开展一次</w:t>
      </w:r>
      <w:r>
        <w:rPr>
          <w:rFonts w:asciiTheme="minorEastAsia" w:hAnsiTheme="minorEastAsia" w:eastAsiaTheme="minorEastAsia"/>
          <w:szCs w:val="21"/>
        </w:rPr>
        <w:t>医院饭堂满意度调查</w:t>
      </w:r>
      <w:r>
        <w:rPr>
          <w:rFonts w:hint="eastAsia" w:asciiTheme="minorEastAsia" w:hAnsiTheme="minorEastAsia" w:eastAsiaTheme="minorEastAsia"/>
          <w:szCs w:val="21"/>
        </w:rPr>
        <w:t>并结合上级委托第三方满意度调查结果，连续两</w:t>
      </w:r>
      <w:r>
        <w:rPr>
          <w:rFonts w:asciiTheme="minorEastAsia" w:hAnsiTheme="minorEastAsia" w:eastAsiaTheme="minorEastAsia"/>
          <w:szCs w:val="21"/>
        </w:rPr>
        <w:t>次</w:t>
      </w:r>
      <w:r>
        <w:rPr>
          <w:rFonts w:hint="eastAsia" w:asciiTheme="minorEastAsia" w:hAnsiTheme="minorEastAsia" w:eastAsiaTheme="minorEastAsia"/>
          <w:szCs w:val="21"/>
        </w:rPr>
        <w:t>满意度综合评分低于80分，并有低于70分情况的，无条件提前结束合同。</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2.每月开展</w:t>
      </w:r>
      <w:r>
        <w:rPr>
          <w:rFonts w:hint="eastAsia" w:asciiTheme="minorEastAsia" w:hAnsiTheme="minorEastAsia" w:eastAsiaTheme="minorEastAsia"/>
          <w:b/>
          <w:szCs w:val="21"/>
        </w:rPr>
        <w:t>食堂管理月度服务质量考评</w:t>
      </w:r>
      <w:r>
        <w:rPr>
          <w:rFonts w:hint="eastAsia" w:asciiTheme="minorEastAsia" w:hAnsiTheme="minorEastAsia" w:eastAsiaTheme="minorEastAsia"/>
          <w:szCs w:val="21"/>
        </w:rPr>
        <w:t>，考评得分低于80分的，每低于1分扣罚500元招标方当月应付餐费，＞95分每上升1分奖500元；连续3个月低于80分的无条件终止合同。</w:t>
      </w:r>
    </w:p>
    <w:p>
      <w:pPr>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3.经营风险保证金：中标方须在签订合同后5个工作日内，向招标方缴交经营风险保证金20万元（人民币）。运营服务期间，如中标方有违约行为，招标方有权使用经营风险保证金进行赔偿或处罚，经营风险保证金被使用后,中标方必须在两个月内补齐经营风险保证金。运营服务期满后，中标方如无违约，无食物中毒及其他食品安全问题等民事赔偿，在付清运营期间所产生的中标方应支付的费用（包括非正常损耗、损坏的厨具和食堂设施设备维修费）、资产盘点移交清楚后，招标方无条件将经营风险保证金（不计利息）退回中标方。由于中标方原因而提前终止合同的，必须提前两个月通知招标方,否则因此而造成招标方的一切损失由中标方负责,中标方无权要求返还经营风险保证金。</w:t>
      </w:r>
    </w:p>
    <w:p>
      <w:pPr>
        <w:ind w:firstLine="424" w:firstLineChars="201"/>
        <w:rPr>
          <w:rFonts w:asciiTheme="minorEastAsia" w:hAnsiTheme="minorEastAsia" w:eastAsiaTheme="minorEastAsia"/>
          <w:b/>
          <w:szCs w:val="21"/>
        </w:rPr>
      </w:pPr>
      <w:r>
        <w:rPr>
          <w:rFonts w:hint="eastAsia" w:asciiTheme="minorEastAsia" w:hAnsiTheme="minorEastAsia" w:eastAsiaTheme="minorEastAsia"/>
          <w:b/>
          <w:szCs w:val="21"/>
        </w:rPr>
        <w:t>（六）餐费付款说明：根据招标方财务支付流程支付。</w:t>
      </w:r>
    </w:p>
    <w:p>
      <w:pPr>
        <w:ind w:firstLine="315" w:firstLineChars="150"/>
        <w:rPr>
          <w:rFonts w:asciiTheme="minorEastAsia" w:hAnsiTheme="minorEastAsia" w:eastAsiaTheme="minorEastAsia"/>
          <w:szCs w:val="21"/>
        </w:rPr>
      </w:pPr>
    </w:p>
    <w:p>
      <w:pPr>
        <w:ind w:firstLine="315" w:firstLineChars="150"/>
        <w:rPr>
          <w:rFonts w:asciiTheme="minorEastAsia" w:hAnsiTheme="minorEastAsia" w:eastAsiaTheme="minorEastAsia"/>
          <w:szCs w:val="21"/>
        </w:rPr>
      </w:pPr>
    </w:p>
    <w:p>
      <w:pPr>
        <w:ind w:firstLine="315" w:firstLineChars="150"/>
        <w:jc w:val="center"/>
        <w:rPr>
          <w:rFonts w:asciiTheme="minorEastAsia" w:hAnsiTheme="minorEastAsia" w:eastAsiaTheme="minorEastAsia"/>
          <w:szCs w:val="21"/>
        </w:rPr>
      </w:pPr>
      <w:r>
        <w:rPr>
          <w:rFonts w:asciiTheme="minorEastAsia" w:hAnsiTheme="minorEastAsia" w:eastAsiaTheme="minorEastAsia"/>
          <w:szCs w:val="21"/>
        </w:rPr>
        <w:t>医院饭堂满意度调查表 (</w:t>
      </w:r>
      <w:r>
        <w:rPr>
          <w:rFonts w:hint="eastAsia" w:asciiTheme="minorEastAsia" w:hAnsiTheme="minorEastAsia" w:eastAsiaTheme="minorEastAsia"/>
          <w:szCs w:val="21"/>
        </w:rPr>
        <w:t>每半年考评一次，</w:t>
      </w:r>
      <w:r>
        <w:rPr>
          <w:rFonts w:asciiTheme="minorEastAsia" w:hAnsiTheme="minorEastAsia" w:eastAsiaTheme="minorEastAsia"/>
          <w:szCs w:val="21"/>
        </w:rPr>
        <w:t>参考模板)</w:t>
      </w:r>
    </w:p>
    <w:p>
      <w:pPr>
        <w:ind w:firstLine="315" w:firstLineChars="150"/>
        <w:jc w:val="center"/>
        <w:rPr>
          <w:rFonts w:asciiTheme="minorEastAsia" w:hAnsiTheme="minorEastAsia" w:eastAsiaTheme="minorEastAsia"/>
          <w:szCs w:val="21"/>
        </w:rPr>
      </w:pPr>
      <w:r>
        <w:rPr>
          <w:rFonts w:asciiTheme="minorEastAsia" w:hAnsiTheme="minorEastAsia" w:eastAsiaTheme="minorEastAsia"/>
          <w:szCs w:val="21"/>
        </w:rPr>
        <w:t>(      年月)</w:t>
      </w:r>
    </w:p>
    <w:p>
      <w:pPr>
        <w:ind w:firstLine="315" w:firstLineChars="150"/>
        <w:rPr>
          <w:rFonts w:asciiTheme="minorEastAsia" w:hAnsiTheme="minorEastAsia" w:eastAsiaTheme="minorEastAsia"/>
          <w:szCs w:val="21"/>
        </w:rPr>
      </w:pPr>
      <w:r>
        <w:rPr>
          <w:rFonts w:asciiTheme="minorEastAsia" w:hAnsiTheme="minorEastAsia" w:eastAsiaTheme="minorEastAsia"/>
          <w:szCs w:val="21"/>
        </w:rPr>
        <w:t>各位：</w:t>
      </w:r>
    </w:p>
    <w:p>
      <w:pPr>
        <w:ind w:firstLine="315" w:firstLineChars="150"/>
        <w:rPr>
          <w:rFonts w:asciiTheme="minorEastAsia" w:hAnsiTheme="minorEastAsia" w:eastAsiaTheme="minorEastAsia"/>
          <w:szCs w:val="21"/>
        </w:rPr>
      </w:pPr>
      <w:r>
        <w:rPr>
          <w:rFonts w:asciiTheme="minorEastAsia" w:hAnsiTheme="minorEastAsia" w:eastAsiaTheme="minorEastAsia"/>
          <w:szCs w:val="21"/>
        </w:rPr>
        <w:t>饭堂满意度调查是我们做好饭堂监督管理，提高饭堂质量和服务的重要依据，请您认真如实填写调查表 (在相应栏填上分数) ，若有意见和建议，请您写下。谢谢您的参与和支持！</w:t>
      </w:r>
    </w:p>
    <w:tbl>
      <w:tblPr>
        <w:tblStyle w:val="44"/>
        <w:tblW w:w="89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2838"/>
        <w:gridCol w:w="992"/>
        <w:gridCol w:w="991"/>
        <w:gridCol w:w="41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1" w:hRule="atLeast"/>
        </w:trPr>
        <w:tc>
          <w:tcPr>
            <w:tcW w:w="2838" w:type="dxa"/>
          </w:tcPr>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r>
              <w:rPr>
                <w:rFonts w:asciiTheme="minorEastAsia" w:hAnsiTheme="minorEastAsia" w:eastAsiaTheme="minorEastAsia"/>
                <w:szCs w:val="21"/>
              </w:rPr>
              <w:t>评价指标</w:t>
            </w:r>
          </w:p>
        </w:tc>
        <w:tc>
          <w:tcPr>
            <w:tcW w:w="992" w:type="dxa"/>
          </w:tcPr>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r>
              <w:rPr>
                <w:rFonts w:asciiTheme="minorEastAsia" w:hAnsiTheme="minorEastAsia" w:eastAsiaTheme="minorEastAsia"/>
                <w:szCs w:val="21"/>
              </w:rPr>
              <w:t>分数</w:t>
            </w:r>
          </w:p>
        </w:tc>
        <w:tc>
          <w:tcPr>
            <w:tcW w:w="991" w:type="dxa"/>
          </w:tcPr>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r>
              <w:rPr>
                <w:rFonts w:asciiTheme="minorEastAsia" w:hAnsiTheme="minorEastAsia" w:eastAsiaTheme="minorEastAsia"/>
                <w:szCs w:val="21"/>
              </w:rPr>
              <w:t>分值</w:t>
            </w:r>
          </w:p>
        </w:tc>
        <w:tc>
          <w:tcPr>
            <w:tcW w:w="4117" w:type="dxa"/>
          </w:tcPr>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r>
              <w:rPr>
                <w:rFonts w:asciiTheme="minorEastAsia" w:hAnsiTheme="minorEastAsia" w:eastAsiaTheme="minorEastAsia"/>
                <w:szCs w:val="21"/>
              </w:rPr>
              <w:t>填表说明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7" w:hRule="atLeast"/>
        </w:trPr>
        <w:tc>
          <w:tcPr>
            <w:tcW w:w="2838" w:type="dxa"/>
          </w:tcPr>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r>
              <w:rPr>
                <w:rFonts w:asciiTheme="minorEastAsia" w:hAnsiTheme="minorEastAsia" w:eastAsiaTheme="minorEastAsia"/>
                <w:szCs w:val="21"/>
              </w:rPr>
              <w:t>饭菜的品质味道</w:t>
            </w:r>
          </w:p>
        </w:tc>
        <w:tc>
          <w:tcPr>
            <w:tcW w:w="992" w:type="dxa"/>
          </w:tcPr>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p>
        </w:tc>
        <w:tc>
          <w:tcPr>
            <w:tcW w:w="991" w:type="dxa"/>
          </w:tcPr>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r>
              <w:rPr>
                <w:rFonts w:asciiTheme="minorEastAsia" w:hAnsiTheme="minorEastAsia" w:eastAsiaTheme="minorEastAsia"/>
                <w:szCs w:val="21"/>
              </w:rPr>
              <w:t>20</w:t>
            </w:r>
          </w:p>
        </w:tc>
        <w:tc>
          <w:tcPr>
            <w:tcW w:w="4117" w:type="dxa"/>
            <w:vMerge w:val="restart"/>
            <w:tcBorders>
              <w:bottom w:val="nil"/>
            </w:tcBorders>
            <w:vAlign w:val="center"/>
          </w:tcPr>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r>
              <w:rPr>
                <w:rFonts w:asciiTheme="minorEastAsia" w:hAnsiTheme="minorEastAsia" w:eastAsiaTheme="minorEastAsia"/>
                <w:szCs w:val="21"/>
              </w:rPr>
              <w:t>1、打分标准：</w:t>
            </w:r>
          </w:p>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r>
              <w:rPr>
                <w:rFonts w:asciiTheme="minorEastAsia" w:hAnsiTheme="minorEastAsia" w:eastAsiaTheme="minorEastAsia"/>
                <w:szCs w:val="21"/>
              </w:rPr>
              <w:t>非常满意≥80 分；80 分＞满意≥70 分；</w:t>
            </w:r>
          </w:p>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r>
              <w:rPr>
                <w:rFonts w:asciiTheme="minorEastAsia" w:hAnsiTheme="minorEastAsia" w:eastAsiaTheme="minorEastAsia"/>
                <w:szCs w:val="21"/>
              </w:rPr>
              <w:t>70 分＞一般≥60 分；不满意＜60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7" w:hRule="atLeast"/>
        </w:trPr>
        <w:tc>
          <w:tcPr>
            <w:tcW w:w="2838" w:type="dxa"/>
          </w:tcPr>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r>
              <w:rPr>
                <w:rFonts w:asciiTheme="minorEastAsia" w:hAnsiTheme="minorEastAsia" w:eastAsiaTheme="minorEastAsia"/>
                <w:szCs w:val="21"/>
              </w:rPr>
              <w:t>饭菜份量</w:t>
            </w:r>
          </w:p>
        </w:tc>
        <w:tc>
          <w:tcPr>
            <w:tcW w:w="992" w:type="dxa"/>
          </w:tcPr>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p>
        </w:tc>
        <w:tc>
          <w:tcPr>
            <w:tcW w:w="991" w:type="dxa"/>
          </w:tcPr>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r>
              <w:rPr>
                <w:rFonts w:asciiTheme="minorEastAsia" w:hAnsiTheme="minorEastAsia" w:eastAsiaTheme="minorEastAsia"/>
                <w:szCs w:val="21"/>
              </w:rPr>
              <w:t>18</w:t>
            </w:r>
          </w:p>
        </w:tc>
        <w:tc>
          <w:tcPr>
            <w:tcW w:w="4117" w:type="dxa"/>
            <w:vMerge w:val="continue"/>
            <w:tcBorders>
              <w:top w:val="nil"/>
              <w:bottom w:val="nil"/>
            </w:tcBorders>
          </w:tcPr>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7" w:hRule="atLeast"/>
        </w:trPr>
        <w:tc>
          <w:tcPr>
            <w:tcW w:w="2838" w:type="dxa"/>
          </w:tcPr>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r>
              <w:rPr>
                <w:rFonts w:asciiTheme="minorEastAsia" w:hAnsiTheme="minorEastAsia" w:eastAsiaTheme="minorEastAsia"/>
                <w:szCs w:val="21"/>
              </w:rPr>
              <w:t>饭菜价格</w:t>
            </w:r>
          </w:p>
        </w:tc>
        <w:tc>
          <w:tcPr>
            <w:tcW w:w="992" w:type="dxa"/>
          </w:tcPr>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p>
        </w:tc>
        <w:tc>
          <w:tcPr>
            <w:tcW w:w="991" w:type="dxa"/>
          </w:tcPr>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r>
              <w:rPr>
                <w:rFonts w:asciiTheme="minorEastAsia" w:hAnsiTheme="minorEastAsia" w:eastAsiaTheme="minorEastAsia"/>
                <w:szCs w:val="21"/>
              </w:rPr>
              <w:t>15</w:t>
            </w:r>
          </w:p>
        </w:tc>
        <w:tc>
          <w:tcPr>
            <w:tcW w:w="4117" w:type="dxa"/>
            <w:vMerge w:val="continue"/>
            <w:tcBorders>
              <w:top w:val="nil"/>
              <w:bottom w:val="nil"/>
            </w:tcBorders>
          </w:tcPr>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7" w:hRule="atLeast"/>
        </w:trPr>
        <w:tc>
          <w:tcPr>
            <w:tcW w:w="2838" w:type="dxa"/>
          </w:tcPr>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r>
              <w:rPr>
                <w:rFonts w:asciiTheme="minorEastAsia" w:hAnsiTheme="minorEastAsia" w:eastAsiaTheme="minorEastAsia"/>
                <w:szCs w:val="21"/>
              </w:rPr>
              <w:t>菜式的品种、搭配</w:t>
            </w:r>
          </w:p>
        </w:tc>
        <w:tc>
          <w:tcPr>
            <w:tcW w:w="992" w:type="dxa"/>
          </w:tcPr>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p>
        </w:tc>
        <w:tc>
          <w:tcPr>
            <w:tcW w:w="991" w:type="dxa"/>
          </w:tcPr>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r>
              <w:rPr>
                <w:rFonts w:asciiTheme="minorEastAsia" w:hAnsiTheme="minorEastAsia" w:eastAsiaTheme="minorEastAsia"/>
                <w:szCs w:val="21"/>
              </w:rPr>
              <w:t>17</w:t>
            </w:r>
          </w:p>
        </w:tc>
        <w:tc>
          <w:tcPr>
            <w:tcW w:w="4117" w:type="dxa"/>
            <w:vMerge w:val="continue"/>
            <w:tcBorders>
              <w:top w:val="nil"/>
              <w:bottom w:val="nil"/>
            </w:tcBorders>
          </w:tcPr>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6" w:hRule="atLeast"/>
        </w:trPr>
        <w:tc>
          <w:tcPr>
            <w:tcW w:w="2838" w:type="dxa"/>
          </w:tcPr>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r>
              <w:rPr>
                <w:rFonts w:asciiTheme="minorEastAsia" w:hAnsiTheme="minorEastAsia" w:eastAsiaTheme="minorEastAsia"/>
                <w:szCs w:val="21"/>
              </w:rPr>
              <w:t>个人及环境卫生状况</w:t>
            </w:r>
          </w:p>
        </w:tc>
        <w:tc>
          <w:tcPr>
            <w:tcW w:w="992" w:type="dxa"/>
          </w:tcPr>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p>
        </w:tc>
        <w:tc>
          <w:tcPr>
            <w:tcW w:w="991" w:type="dxa"/>
          </w:tcPr>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r>
              <w:rPr>
                <w:rFonts w:asciiTheme="minorEastAsia" w:hAnsiTheme="minorEastAsia" w:eastAsiaTheme="minorEastAsia"/>
                <w:szCs w:val="21"/>
              </w:rPr>
              <w:t>15</w:t>
            </w:r>
          </w:p>
        </w:tc>
        <w:tc>
          <w:tcPr>
            <w:tcW w:w="4117" w:type="dxa"/>
            <w:vMerge w:val="continue"/>
            <w:tcBorders>
              <w:top w:val="nil"/>
              <w:bottom w:val="nil"/>
            </w:tcBorders>
          </w:tcPr>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7" w:hRule="atLeast"/>
        </w:trPr>
        <w:tc>
          <w:tcPr>
            <w:tcW w:w="2838" w:type="dxa"/>
          </w:tcPr>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r>
              <w:rPr>
                <w:rFonts w:asciiTheme="minorEastAsia" w:hAnsiTheme="minorEastAsia" w:eastAsiaTheme="minorEastAsia"/>
                <w:szCs w:val="21"/>
              </w:rPr>
              <w:t>服务态度</w:t>
            </w:r>
          </w:p>
        </w:tc>
        <w:tc>
          <w:tcPr>
            <w:tcW w:w="992" w:type="dxa"/>
          </w:tcPr>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p>
        </w:tc>
        <w:tc>
          <w:tcPr>
            <w:tcW w:w="991" w:type="dxa"/>
          </w:tcPr>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r>
              <w:rPr>
                <w:rFonts w:asciiTheme="minorEastAsia" w:hAnsiTheme="minorEastAsia" w:eastAsiaTheme="minorEastAsia"/>
                <w:szCs w:val="21"/>
              </w:rPr>
              <w:t>15</w:t>
            </w:r>
          </w:p>
        </w:tc>
        <w:tc>
          <w:tcPr>
            <w:tcW w:w="4117" w:type="dxa"/>
            <w:vMerge w:val="continue"/>
            <w:tcBorders>
              <w:top w:val="nil"/>
              <w:bottom w:val="nil"/>
            </w:tcBorders>
          </w:tcPr>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1" w:hRule="atLeast"/>
        </w:trPr>
        <w:tc>
          <w:tcPr>
            <w:tcW w:w="2838" w:type="dxa"/>
          </w:tcPr>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r>
              <w:rPr>
                <w:rFonts w:asciiTheme="minorEastAsia" w:hAnsiTheme="minorEastAsia" w:eastAsiaTheme="minorEastAsia"/>
                <w:szCs w:val="21"/>
              </w:rPr>
              <w:t>总分</w:t>
            </w:r>
          </w:p>
        </w:tc>
        <w:tc>
          <w:tcPr>
            <w:tcW w:w="992" w:type="dxa"/>
          </w:tcPr>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p>
        </w:tc>
        <w:tc>
          <w:tcPr>
            <w:tcW w:w="991" w:type="dxa"/>
          </w:tcPr>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r>
              <w:rPr>
                <w:rFonts w:asciiTheme="minorEastAsia" w:hAnsiTheme="minorEastAsia" w:eastAsiaTheme="minorEastAsia"/>
                <w:szCs w:val="21"/>
              </w:rPr>
              <w:t>100</w:t>
            </w:r>
          </w:p>
        </w:tc>
        <w:tc>
          <w:tcPr>
            <w:tcW w:w="4117" w:type="dxa"/>
            <w:vMerge w:val="continue"/>
            <w:tcBorders>
              <w:top w:val="nil"/>
            </w:tcBorders>
          </w:tcPr>
          <w:p>
            <w:pPr>
              <w:keepNext w:val="0"/>
              <w:keepLines w:val="0"/>
              <w:suppressLineNumbers w:val="0"/>
              <w:spacing w:before="0" w:beforeAutospacing="0" w:after="0" w:afterAutospacing="0"/>
              <w:ind w:left="0" w:right="0" w:firstLine="315" w:firstLineChars="150"/>
              <w:rPr>
                <w:rFonts w:asciiTheme="minorEastAsia" w:hAnsiTheme="minorEastAsia" w:eastAsiaTheme="minorEastAsia"/>
                <w:szCs w:val="21"/>
              </w:rPr>
            </w:pPr>
          </w:p>
        </w:tc>
      </w:tr>
    </w:tbl>
    <w:p>
      <w:pPr>
        <w:ind w:firstLine="315" w:firstLineChars="150"/>
        <w:rPr>
          <w:rFonts w:asciiTheme="minorEastAsia" w:hAnsiTheme="minorEastAsia" w:eastAsiaTheme="minorEastAsia"/>
          <w:szCs w:val="21"/>
        </w:rPr>
      </w:pPr>
      <w:r>
        <w:rPr>
          <w:rFonts w:asciiTheme="minorEastAsia" w:hAnsiTheme="minorEastAsia" w:eastAsiaTheme="minorEastAsia"/>
          <w:szCs w:val="21"/>
        </w:rPr>
        <w:t>意见和建议: ____________________________________________________________________</w:t>
      </w:r>
    </w:p>
    <w:p>
      <w:pPr>
        <w:rPr>
          <w:rFonts w:asciiTheme="minorEastAsia" w:hAnsiTheme="minorEastAsia" w:eastAsiaTheme="minorEastAsia"/>
          <w:szCs w:val="21"/>
        </w:rPr>
      </w:pPr>
    </w:p>
    <w:p>
      <w:pPr>
        <w:spacing w:afterLines="50"/>
        <w:jc w:val="center"/>
        <w:rPr>
          <w:rFonts w:asciiTheme="minorEastAsia" w:hAnsiTheme="minorEastAsia" w:eastAsiaTheme="minorEastAsia"/>
          <w:b/>
          <w:szCs w:val="21"/>
        </w:rPr>
      </w:pPr>
    </w:p>
    <w:p>
      <w:pPr>
        <w:spacing w:afterLines="50"/>
        <w:jc w:val="center"/>
        <w:rPr>
          <w:rFonts w:asciiTheme="minorEastAsia" w:hAnsiTheme="minorEastAsia" w:eastAsiaTheme="minorEastAsia"/>
          <w:b/>
          <w:szCs w:val="21"/>
        </w:rPr>
      </w:pPr>
    </w:p>
    <w:p>
      <w:pPr>
        <w:pageBreakBefore/>
        <w:spacing w:afterLines="50"/>
        <w:jc w:val="center"/>
        <w:rPr>
          <w:rFonts w:asciiTheme="minorEastAsia" w:hAnsiTheme="minorEastAsia" w:eastAsiaTheme="minorEastAsia"/>
          <w:szCs w:val="21"/>
        </w:rPr>
      </w:pPr>
      <w:r>
        <w:rPr>
          <w:rFonts w:hint="eastAsia" w:asciiTheme="minorEastAsia" w:hAnsiTheme="minorEastAsia" w:eastAsiaTheme="minorEastAsia"/>
          <w:b/>
          <w:szCs w:val="21"/>
        </w:rPr>
        <w:t>食堂管理月度服务质量考评表</w:t>
      </w:r>
      <w:r>
        <w:rPr>
          <w:rFonts w:asciiTheme="minorEastAsia" w:hAnsiTheme="minorEastAsia" w:eastAsiaTheme="minorEastAsia"/>
          <w:szCs w:val="21"/>
        </w:rPr>
        <w:t>(</w:t>
      </w:r>
      <w:r>
        <w:rPr>
          <w:rFonts w:hint="eastAsia" w:asciiTheme="minorEastAsia" w:hAnsiTheme="minorEastAsia" w:eastAsiaTheme="minorEastAsia"/>
          <w:szCs w:val="21"/>
        </w:rPr>
        <w:t>每月考评一次，</w:t>
      </w:r>
      <w:r>
        <w:rPr>
          <w:rFonts w:asciiTheme="minorEastAsia" w:hAnsiTheme="minorEastAsia" w:eastAsiaTheme="minorEastAsia"/>
          <w:szCs w:val="21"/>
        </w:rPr>
        <w:t>参考模板)</w:t>
      </w:r>
      <w:r>
        <w:rPr>
          <w:rFonts w:hint="eastAsia" w:asciiTheme="minorEastAsia" w:hAnsiTheme="minorEastAsia" w:eastAsiaTheme="minorEastAsia"/>
          <w:szCs w:val="21"/>
        </w:rPr>
        <w:t>考核月份：  20  年  月</w:t>
      </w:r>
    </w:p>
    <w:tbl>
      <w:tblPr>
        <w:tblStyle w:val="44"/>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670"/>
        <w:gridCol w:w="2157"/>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keepNext w:val="0"/>
              <w:keepLines w:val="0"/>
              <w:suppressLineNumbers w:val="0"/>
              <w:adjustRightInd w:val="0"/>
              <w:snapToGrid w:val="0"/>
              <w:spacing w:before="0" w:beforeLines="50" w:beforeAutospacing="0" w:after="0" w:afterAutospacing="0" w:line="360" w:lineRule="auto"/>
              <w:ind w:left="0" w:right="0"/>
              <w:jc w:val="center"/>
              <w:rPr>
                <w:rFonts w:asciiTheme="minorEastAsia" w:hAnsiTheme="minorEastAsia" w:eastAsiaTheme="minorEastAsia"/>
                <w:szCs w:val="21"/>
              </w:rPr>
            </w:pPr>
            <w:r>
              <w:rPr>
                <w:rFonts w:hint="eastAsia" w:asciiTheme="minorEastAsia" w:hAnsiTheme="minorEastAsia" w:eastAsiaTheme="minorEastAsia"/>
                <w:szCs w:val="21"/>
              </w:rPr>
              <w:t>检查项目</w:t>
            </w: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r>
              <w:rPr>
                <w:rFonts w:hint="eastAsia" w:asciiTheme="minorEastAsia" w:hAnsiTheme="minorEastAsia" w:eastAsiaTheme="minorEastAsia"/>
                <w:szCs w:val="21"/>
              </w:rPr>
              <w:t>检查内容及考评方法</w:t>
            </w:r>
          </w:p>
        </w:tc>
        <w:tc>
          <w:tcPr>
            <w:tcW w:w="215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r>
              <w:rPr>
                <w:rFonts w:hint="eastAsia" w:asciiTheme="minorEastAsia" w:hAnsiTheme="minorEastAsia" w:eastAsiaTheme="minorEastAsia"/>
                <w:szCs w:val="21"/>
              </w:rPr>
              <w:t>存在问题及扣分</w:t>
            </w:r>
          </w:p>
        </w:tc>
        <w:tc>
          <w:tcPr>
            <w:tcW w:w="720"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r>
              <w:rPr>
                <w:rFonts w:hint="eastAsia" w:asciiTheme="minorEastAsia" w:hAnsiTheme="minorEastAsia" w:eastAsiaTheme="minorEastAsia"/>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vAlign w:val="center"/>
          </w:tcPr>
          <w:p>
            <w:pPr>
              <w:keepNext w:val="0"/>
              <w:keepLines w:val="0"/>
              <w:suppressLineNumbers w:val="0"/>
              <w:adjustRightInd w:val="0"/>
              <w:snapToGrid w:val="0"/>
              <w:spacing w:before="0" w:beforeLines="50" w:beforeAutospacing="0" w:after="0" w:afterAutospacing="0" w:line="360" w:lineRule="auto"/>
              <w:ind w:left="0" w:right="0"/>
              <w:rPr>
                <w:rFonts w:asciiTheme="minorEastAsia" w:hAnsiTheme="minorEastAsia" w:eastAsiaTheme="minorEastAsia"/>
                <w:szCs w:val="21"/>
              </w:rPr>
            </w:pPr>
            <w:r>
              <w:rPr>
                <w:rFonts w:hint="eastAsia" w:asciiTheme="minorEastAsia" w:hAnsiTheme="minorEastAsia" w:eastAsiaTheme="minorEastAsia"/>
                <w:szCs w:val="21"/>
              </w:rPr>
              <w:t>经营</w:t>
            </w:r>
          </w:p>
          <w:p>
            <w:pPr>
              <w:keepNext w:val="0"/>
              <w:keepLines w:val="0"/>
              <w:suppressLineNumbers w:val="0"/>
              <w:adjustRightInd w:val="0"/>
              <w:snapToGrid w:val="0"/>
              <w:spacing w:before="0" w:beforeLines="50" w:beforeAutospacing="0" w:after="0" w:afterAutospacing="0" w:line="360" w:lineRule="auto"/>
              <w:ind w:left="0" w:right="0"/>
              <w:rPr>
                <w:rFonts w:asciiTheme="minorEastAsia" w:hAnsiTheme="minorEastAsia" w:eastAsiaTheme="minorEastAsia"/>
                <w:szCs w:val="21"/>
              </w:rPr>
            </w:pPr>
            <w:r>
              <w:rPr>
                <w:rFonts w:hint="eastAsia" w:asciiTheme="minorEastAsia" w:hAnsiTheme="minorEastAsia" w:eastAsiaTheme="minorEastAsia"/>
                <w:szCs w:val="21"/>
              </w:rPr>
              <w:t>管理</w:t>
            </w:r>
          </w:p>
          <w:p>
            <w:pPr>
              <w:keepNext w:val="0"/>
              <w:keepLines w:val="0"/>
              <w:suppressLineNumbers w:val="0"/>
              <w:adjustRightInd w:val="0"/>
              <w:snapToGrid w:val="0"/>
              <w:spacing w:before="0" w:beforeLines="50" w:beforeAutospacing="0" w:after="0" w:afterAutospacing="0" w:line="360" w:lineRule="auto"/>
              <w:ind w:left="0" w:right="0"/>
              <w:jc w:val="center"/>
              <w:rPr>
                <w:rFonts w:asciiTheme="minorEastAsia" w:hAnsiTheme="minorEastAsia" w:eastAsiaTheme="minorEastAsia"/>
                <w:szCs w:val="21"/>
              </w:rPr>
            </w:pPr>
            <w:r>
              <w:rPr>
                <w:rFonts w:hint="eastAsia" w:asciiTheme="minorEastAsia" w:hAnsiTheme="minorEastAsia" w:eastAsiaTheme="minorEastAsia"/>
                <w:szCs w:val="21"/>
              </w:rPr>
              <w:t>（10分）</w:t>
            </w:r>
          </w:p>
        </w:tc>
        <w:tc>
          <w:tcPr>
            <w:tcW w:w="5670"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设置专职管理人员和食堂管理架构，制定项目运营方案，具备应对饭堂突发事件的能力。按行业法规制定岗位人员职责、各项管理制度、操作流程、培训计划、有效监控措施等。缺少扣1分/项。</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b/>
                <w:sz w:val="24"/>
                <w:szCs w:val="21"/>
              </w:rPr>
            </w:pPr>
          </w:p>
        </w:tc>
        <w:tc>
          <w:tcPr>
            <w:tcW w:w="720" w:type="dxa"/>
            <w:vMerge w:val="restart"/>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rPr>
                <w:rFonts w:asciiTheme="minorEastAsia" w:hAnsiTheme="minorEastAsia" w:eastAsiaTheme="minorEastAsia"/>
                <w:b/>
                <w:sz w:val="24"/>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运营期间落实执行标书及合同的各项管理要求，按要求提供早餐、午餐、晚餐、宵夜及应急供餐等餐饮服务，并按标准化餐品及餐量供餐，保证规定售价。没执行或执行不到位扣2-4分</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b/>
                <w:sz w:val="24"/>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rPr>
                <w:rFonts w:asciiTheme="minorEastAsia" w:hAnsiTheme="minorEastAsia" w:eastAsiaTheme="minorEastAsia"/>
                <w:b/>
                <w:sz w:val="24"/>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员工遵守国家、医院各项规章制度、管理要求等，无违法犯罪、监守自盗、违法食品安全上岗要求等，违反医院相关制度扣1-3分/次，发生违规违法事件扣2-5分/次。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b/>
                <w:sz w:val="24"/>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rPr>
                <w:rFonts w:asciiTheme="minorEastAsia" w:hAnsiTheme="minorEastAsia" w:eastAsiaTheme="minorEastAsia"/>
                <w:b/>
                <w:sz w:val="24"/>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r>
              <w:rPr>
                <w:rFonts w:hint="eastAsia" w:asciiTheme="minorEastAsia" w:hAnsiTheme="minorEastAsia" w:eastAsiaTheme="minorEastAsia"/>
                <w:szCs w:val="21"/>
              </w:rPr>
              <w:t>建立各类管理档案，包括食品安全、消防安全检查、培训、员工服务质量检查和绩效考评等，缺少扣1分/项。承包方要有内部对菜肴出品的质量考核和满意度调查，对于不满意的厨师要建立淘汰机制，没执行或执行不到位扣2-4分。</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b/>
                <w:sz w:val="72"/>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rPr>
                <w:rFonts w:asciiTheme="minorEastAsia" w:hAnsiTheme="minorEastAsia" w:eastAsiaTheme="minorEastAsia"/>
                <w:b/>
                <w:sz w:val="72"/>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食品供货商及其产品应具备的证照齐全，缺乏扣2分/品种或供应商，没建立固定供货渠道及签订协议，或供货商资料没按要求报后勤保障科审批及备案，扣2-4分/次。不及时补充可终止供应商产品供应。</w:t>
            </w:r>
          </w:p>
        </w:tc>
        <w:tc>
          <w:tcPr>
            <w:tcW w:w="215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rPr>
                <w:rFonts w:asciiTheme="minorEastAsia" w:hAnsiTheme="minorEastAsia" w:eastAsiaTheme="minorEastAsia"/>
                <w:b/>
                <w:sz w:val="24"/>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肉菜等鲜活采购应固定档位，有检验合格证，不符合要求扣2分/次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rPr>
                <w:rFonts w:asciiTheme="minorEastAsia" w:hAnsiTheme="minorEastAsia" w:eastAsiaTheme="minorEastAsia"/>
                <w:b/>
                <w:sz w:val="24"/>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不落实进货验收制度发现一次扣1分/次，进货台账不齐全和登记不符合要求扣0.5分/次/品种；采购变质、有毒、含违禁添加剂、过期等有害食品扣3-5分/品种/次。情节严重报行政主管部门或公安机关处理。</w:t>
            </w:r>
          </w:p>
        </w:tc>
        <w:tc>
          <w:tcPr>
            <w:tcW w:w="215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rPr>
                <w:rFonts w:asciiTheme="minorEastAsia" w:hAnsiTheme="minorEastAsia" w:eastAsiaTheme="minorEastAsia"/>
                <w:b/>
                <w:sz w:val="24"/>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食堂各类设施设备要做好有效维护管理，必要时应更新相关设施设备。设施设备故障无及时维修及做好安全防护的，扣3-5分/件。</w:t>
            </w:r>
          </w:p>
        </w:tc>
        <w:tc>
          <w:tcPr>
            <w:tcW w:w="215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c>
          <w:tcPr>
            <w:tcW w:w="720" w:type="dxa"/>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rPr>
                <w:rFonts w:asciiTheme="minorEastAsia" w:hAnsiTheme="minorEastAsia" w:eastAsiaTheme="minorEastAsia"/>
                <w:b/>
                <w:sz w:val="24"/>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积极配合医院各项迎检及重大活动任务，不配合或消极配合，扣2-4分。</w:t>
            </w:r>
          </w:p>
        </w:tc>
        <w:tc>
          <w:tcPr>
            <w:tcW w:w="215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c>
          <w:tcPr>
            <w:tcW w:w="720" w:type="dxa"/>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rPr>
                <w:rFonts w:asciiTheme="minorEastAsia" w:hAnsiTheme="minorEastAsia" w:eastAsiaTheme="minorEastAsia"/>
                <w:b/>
                <w:sz w:val="24"/>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需提高基本标准餐单售价，需向出租方提交书面申请，经同意后方能调整。未经批准擅自提价的扣2-4分/品种。</w:t>
            </w:r>
          </w:p>
        </w:tc>
        <w:tc>
          <w:tcPr>
            <w:tcW w:w="215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c>
          <w:tcPr>
            <w:tcW w:w="720" w:type="dxa"/>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rPr>
                <w:rFonts w:asciiTheme="minorEastAsia" w:hAnsiTheme="minorEastAsia" w:eastAsiaTheme="minorEastAsia"/>
                <w:b/>
                <w:sz w:val="24"/>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无按要求落实食品添加剂五专管理，扣2-4分。</w:t>
            </w:r>
          </w:p>
        </w:tc>
        <w:tc>
          <w:tcPr>
            <w:tcW w:w="215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c>
          <w:tcPr>
            <w:tcW w:w="720" w:type="dxa"/>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vAlign w:val="center"/>
          </w:tcPr>
          <w:p>
            <w:pPr>
              <w:keepNext w:val="0"/>
              <w:keepLines w:val="0"/>
              <w:suppressLineNumbers w:val="0"/>
              <w:adjustRightInd w:val="0"/>
              <w:snapToGrid w:val="0"/>
              <w:spacing w:before="0" w:beforeLines="50" w:beforeAutospacing="0" w:after="0" w:afterAutospacing="0" w:line="360" w:lineRule="auto"/>
              <w:ind w:left="0" w:right="0"/>
              <w:rPr>
                <w:rFonts w:asciiTheme="minorEastAsia" w:hAnsiTheme="minorEastAsia" w:eastAsiaTheme="minorEastAsia"/>
                <w:szCs w:val="21"/>
              </w:rPr>
            </w:pPr>
            <w:r>
              <w:rPr>
                <w:rFonts w:hint="eastAsia" w:asciiTheme="minorEastAsia" w:hAnsiTheme="minorEastAsia" w:eastAsiaTheme="minorEastAsia"/>
                <w:szCs w:val="21"/>
              </w:rPr>
              <w:t>食品储存、冷冻冷藏管理（10分）</w:t>
            </w:r>
          </w:p>
        </w:tc>
        <w:tc>
          <w:tcPr>
            <w:tcW w:w="5670"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要求分类及登记、离地离墙、防鼠防蟑螂、有标识、先后顺序等仓储管理制度存放，不符合要求扣0.5-1分/品种</w:t>
            </w:r>
          </w:p>
        </w:tc>
        <w:tc>
          <w:tcPr>
            <w:tcW w:w="215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c>
          <w:tcPr>
            <w:tcW w:w="720" w:type="dxa"/>
            <w:vMerge w:val="restart"/>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jc w:val="center"/>
              <w:rPr>
                <w:rFonts w:asciiTheme="minorEastAsia" w:hAnsiTheme="minorEastAsia" w:eastAsiaTheme="minorEastAsia"/>
                <w:b/>
                <w:sz w:val="24"/>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食品及食品容器与其他物品混放，食品无按规定密封及存储，扣1-2分/次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jc w:val="center"/>
              <w:rPr>
                <w:rFonts w:asciiTheme="minorEastAsia" w:hAnsiTheme="minorEastAsia" w:eastAsiaTheme="minorEastAsia"/>
                <w:b/>
                <w:sz w:val="24"/>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冰柜冰库存放的食品原料、半成品、成品等分类放置有标识，不得混放，发现混放扣1分/次；保持清洁卫生、定期除霜，发现不符合卫生扣0.5-1分/次，每天检查记录保持温度在正常范围，缺一次扣0.5分，温度不达到要求扣1分/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b/>
                <w:sz w:val="24"/>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jc w:val="center"/>
              <w:rPr>
                <w:rFonts w:asciiTheme="minorEastAsia" w:hAnsiTheme="minorEastAsia" w:eastAsiaTheme="minorEastAsia"/>
                <w:b/>
                <w:sz w:val="24"/>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发现变质食品或过期或再回收食品供应扣3-5分/次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vAlign w:val="center"/>
          </w:tcPr>
          <w:p>
            <w:pPr>
              <w:keepNext w:val="0"/>
              <w:keepLines w:val="0"/>
              <w:suppressLineNumbers w:val="0"/>
              <w:adjustRightInd w:val="0"/>
              <w:snapToGrid w:val="0"/>
              <w:spacing w:before="0" w:beforeLines="50" w:beforeAutospacing="0" w:after="0" w:afterAutospacing="0" w:line="360" w:lineRule="auto"/>
              <w:ind w:left="0" w:right="0"/>
              <w:rPr>
                <w:rFonts w:asciiTheme="minorEastAsia" w:hAnsiTheme="minorEastAsia" w:eastAsiaTheme="minorEastAsia"/>
                <w:szCs w:val="21"/>
              </w:rPr>
            </w:pPr>
            <w:r>
              <w:rPr>
                <w:rFonts w:hint="eastAsia" w:asciiTheme="minorEastAsia" w:hAnsiTheme="minorEastAsia" w:eastAsiaTheme="minorEastAsia"/>
                <w:szCs w:val="21"/>
              </w:rPr>
              <w:t>配餐间管理（10分）</w:t>
            </w: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r>
              <w:rPr>
                <w:rFonts w:hint="eastAsia" w:asciiTheme="minorEastAsia" w:hAnsiTheme="minorEastAsia" w:eastAsiaTheme="minorEastAsia"/>
                <w:szCs w:val="21"/>
              </w:rPr>
              <w:t>进入配餐间前须洗消双手、更换专间工衣、戴口罩帽，不得穿专间工衣从事与专间无关工作，违规扣1分/次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b/>
                <w:sz w:val="72"/>
                <w:szCs w:val="21"/>
              </w:rPr>
            </w:pPr>
          </w:p>
        </w:tc>
        <w:tc>
          <w:tcPr>
            <w:tcW w:w="720" w:type="dxa"/>
            <w:vMerge w:val="restart"/>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jc w:val="center"/>
              <w:rPr>
                <w:rFonts w:asciiTheme="minorEastAsia" w:hAnsiTheme="minorEastAsia" w:eastAsiaTheme="minorEastAsia"/>
                <w:b/>
                <w:sz w:val="72"/>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出入配餐间、传递窗必须随手关门窗，违规扣1分/人次，发现直接从预进间传递食品或非专间人员违规进入专间扣1分/次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b/>
                <w:sz w:val="24"/>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993"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jc w:val="center"/>
              <w:rPr>
                <w:rFonts w:asciiTheme="minorEastAsia" w:hAnsiTheme="minorEastAsia" w:eastAsiaTheme="minorEastAsia"/>
                <w:b/>
                <w:sz w:val="24"/>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每次配餐结束全面清洁保持洁净无污迹和积水，不符合要求扣1分/次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993"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jc w:val="center"/>
              <w:rPr>
                <w:rFonts w:asciiTheme="minorEastAsia" w:hAnsiTheme="minorEastAsia" w:eastAsiaTheme="minorEastAsia"/>
                <w:b/>
                <w:sz w:val="24"/>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保持室温25度以下，每天空气消毒和登记，紫外线光管使用时间不超规定时间或保证有效强度，不符合要求扣1分/次，配餐间内存有不合要求物品扣1分/次。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93"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jc w:val="center"/>
              <w:rPr>
                <w:rFonts w:asciiTheme="minorEastAsia" w:hAnsiTheme="minorEastAsia" w:eastAsiaTheme="minorEastAsia"/>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违反配餐间其他管理规定，扣1-3分/次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720" w:type="dxa"/>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993" w:type="dxa"/>
            <w:vMerge w:val="restart"/>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r>
              <w:rPr>
                <w:rFonts w:hint="eastAsia" w:asciiTheme="minorEastAsia" w:hAnsiTheme="minorEastAsia" w:eastAsiaTheme="minorEastAsia"/>
                <w:szCs w:val="21"/>
              </w:rPr>
              <w:t>留样及农药检测（5分）</w:t>
            </w: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留样品种不全或留样量少于125克/品种或记录不全或不及时、保存不标准等不规范行为扣0.5分/品种/次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720" w:type="dxa"/>
            <w:vMerge w:val="restart"/>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993"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蔬菜每批次检测并记录，不检测或无记录，无每周送桥南街食安办检测扣1分/批次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食品卫生</w:t>
            </w:r>
          </w:p>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r>
              <w:rPr>
                <w:rFonts w:hint="eastAsia" w:asciiTheme="minorEastAsia" w:hAnsiTheme="minorEastAsia" w:eastAsiaTheme="minorEastAsia"/>
                <w:szCs w:val="21"/>
              </w:rPr>
              <w:t>（15分）</w:t>
            </w:r>
          </w:p>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72"/>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饭菜有异物（头发、苍蝇、蟑螂、鼠屎、钢丝等）扣2分/人次，饭菜变质或有异味扣2分/人次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720" w:type="dxa"/>
            <w:vMerge w:val="restart"/>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送餐或外卖不符合卫生要求（运送工具、人员等）扣0.5-1分/人次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不按洁污流程、分区分类处理用后餐具扣1分/次，餐具洗消不符合洗消流程和卫生要求扣1分/次，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员工餐具与病人用餐具不分开扣1分/次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洗消后餐具及其消毒柜外观不洁净扣0.5分/件，餐具消毒记录缺填扣0.5分/次。无按要求落实餐车紫外线消毒或记录登记不全，扣1分/次。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一次性清洁餐具放置地上或与其他杂物混放或包装残旧扣0.5-1分/次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餐具保洁柜除放置洗消后餐具和去外包装后一次性餐具外不得混放其他物品，保持清洁卫生，发现不符合要求扣1分/次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其他不符合食品卫生管理及操作的行为，扣1分/次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720" w:type="dxa"/>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r>
              <w:rPr>
                <w:rFonts w:hint="eastAsia" w:asciiTheme="minorEastAsia" w:hAnsiTheme="minorEastAsia" w:eastAsiaTheme="minorEastAsia"/>
                <w:szCs w:val="21"/>
              </w:rPr>
              <w:t>环境卫生（20分）</w:t>
            </w:r>
          </w:p>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72"/>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储物柜、工作台、饮水机、炉具、地面、门窗、天花、排水渠、办公室、更衣室、垃圾处理、清洁用具等环境卫生一处不符合清洁卫生和食品卫生要求扣0.5-1分/处</w:t>
            </w:r>
          </w:p>
        </w:tc>
        <w:tc>
          <w:tcPr>
            <w:tcW w:w="2157" w:type="dxa"/>
            <w:vAlign w:val="center"/>
          </w:tcPr>
          <w:p>
            <w:pPr>
              <w:keepNext w:val="0"/>
              <w:keepLines w:val="0"/>
              <w:suppressLineNumbers w:val="0"/>
              <w:adjustRightInd w:val="0"/>
              <w:snapToGrid w:val="0"/>
              <w:spacing w:before="0" w:beforeLines="50" w:beforeAutospacing="0" w:after="0" w:afterAutospacing="0" w:line="220" w:lineRule="exact"/>
              <w:ind w:left="0" w:right="0"/>
              <w:rPr>
                <w:rFonts w:asciiTheme="minorEastAsia" w:hAnsiTheme="minorEastAsia" w:eastAsiaTheme="minorEastAsia"/>
                <w:szCs w:val="21"/>
              </w:rPr>
            </w:pPr>
          </w:p>
        </w:tc>
        <w:tc>
          <w:tcPr>
            <w:tcW w:w="720" w:type="dxa"/>
            <w:vMerge w:val="restart"/>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餐厅、食品处理区对外门窗敞开不关、有苍蝇等其他蚊虫扣0.5-1分/次/间。食堂内发现老鼠、鼠屎、鼠迹扣1-2分 /处或间，发现蟑螂或蟑螂屎扣0.5-1分/处或间。</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食堂内所有对外门窗应设防鼠、蝇、蟑螂纱窗、防鼠板等防四害设施，出入关闭，所有排水沟渠、入墙管口、缝隙必须安装防鼠防蟑螂设施，无设施、设施破损或有设施不执行扣1分/处或次。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无定期开展除四害消杀或消杀不规范，扣1-3分/次。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门窗、地板不定期清洁扣1分/间，用后餐具、剩饭菜不及时清理扣0.5分/次，餐台凳有污迹扣0.5分/张</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r>
              <w:rPr>
                <w:rFonts w:hint="eastAsia" w:asciiTheme="minorEastAsia" w:hAnsiTheme="minorEastAsia" w:eastAsiaTheme="minorEastAsia"/>
                <w:szCs w:val="21"/>
              </w:rPr>
              <w:t>从业人员健康管理及个人卫生</w:t>
            </w:r>
          </w:p>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r>
              <w:rPr>
                <w:rFonts w:hint="eastAsia" w:asciiTheme="minorEastAsia" w:hAnsiTheme="minorEastAsia" w:eastAsiaTheme="minorEastAsia"/>
                <w:szCs w:val="21"/>
              </w:rPr>
              <w:t>（10分）</w:t>
            </w:r>
          </w:p>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72"/>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每年进行健康检查并取得健康证，无证上岗扣5分/人，过期扣3分/人</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720" w:type="dxa"/>
            <w:vMerge w:val="restart"/>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每天进行“五病”症状自查，无自查和记录扣0.5分/人，发现带病（五病）上班扣2分/人/天</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工作人员衣帽整洁、接触食物要规范戴口罩、帽子，长发要束起，接触直接入口的操作人员在处理食物前、接触生食或受污染物体后、使用卫生间后必须洗手，不符合要求扣0.5分/人次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食品处理区与外卖或送餐人员工衣要分开，不得穿外卖工衣进入食品处理区；不符合要求扣0.5分/人次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食品处理区工作人员上洗手间前后要更衣、洗消双手，不符合要求扣0.5分/人次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食品处理区发现私人物品扣0.5分/人次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发现在食品处理区吸烟、饮食等扣1分/人次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发现其他不符合从业人员卫生管理要求的扣0.5-1分/次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r>
              <w:rPr>
                <w:rFonts w:hint="eastAsia" w:asciiTheme="minorEastAsia" w:hAnsiTheme="minorEastAsia" w:eastAsiaTheme="minorEastAsia"/>
                <w:szCs w:val="21"/>
              </w:rPr>
              <w:t>餐厨废弃物处置</w:t>
            </w:r>
          </w:p>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r>
              <w:rPr>
                <w:rFonts w:hint="eastAsia" w:asciiTheme="minorEastAsia" w:hAnsiTheme="minorEastAsia" w:eastAsiaTheme="minorEastAsia"/>
                <w:szCs w:val="21"/>
              </w:rPr>
              <w:t>（5分）</w:t>
            </w:r>
          </w:p>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72"/>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餐厨废弃物（食堂集水井污油、剩饭菜）不得交给无资质公司或个人处理，不得用于违法违规用途，应与接收单位或个人签署合同并提交我院备案，不符合要求扣2分/项/月</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720" w:type="dxa"/>
            <w:vMerge w:val="restart"/>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按要求配置垃圾分类桶和执行分类垃圾收运及减排措施，做好隔油池及工作场所内的集水井的清洁、维护。厨余垃圾日产日清，每天清洗暂存处及垃圾桶，食堂集水井每周清理不少于两次，保持环境清洁卫生，不符合要求扣0.5-1分/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废弃包装箱或纸皮等日产日清，发现乱堆乱摆不及时清理扣0.5分/次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93" w:type="dxa"/>
            <w:vMerge w:val="restart"/>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r>
              <w:rPr>
                <w:rFonts w:hint="eastAsia" w:asciiTheme="minorEastAsia" w:hAnsiTheme="minorEastAsia" w:eastAsiaTheme="minorEastAsia"/>
                <w:szCs w:val="21"/>
              </w:rPr>
              <w:t>餐饮供应服务</w:t>
            </w:r>
          </w:p>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r>
              <w:rPr>
                <w:rFonts w:hint="eastAsia" w:asciiTheme="minorEastAsia" w:hAnsiTheme="minorEastAsia" w:eastAsiaTheme="minorEastAsia"/>
                <w:szCs w:val="21"/>
              </w:rPr>
              <w:t>（10分）</w:t>
            </w:r>
          </w:p>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72"/>
                <w:szCs w:val="21"/>
              </w:rPr>
            </w:pPr>
          </w:p>
        </w:tc>
        <w:tc>
          <w:tcPr>
            <w:tcW w:w="5670" w:type="dxa"/>
            <w:vAlign w:val="center"/>
          </w:tcPr>
          <w:p>
            <w:pPr>
              <w:keepNext w:val="0"/>
              <w:keepLines w:val="0"/>
              <w:suppressLineNumbers w:val="0"/>
              <w:adjustRightInd w:val="0"/>
              <w:snapToGrid w:val="0"/>
              <w:spacing w:before="0" w:beforeLines="50" w:beforeAutospacing="0" w:after="0" w:afterAutospacing="0" w:line="273" w:lineRule="auto"/>
              <w:ind w:left="0" w:right="0"/>
              <w:rPr>
                <w:rFonts w:asciiTheme="minorEastAsia" w:hAnsiTheme="minorEastAsia" w:eastAsiaTheme="minorEastAsia"/>
                <w:szCs w:val="21"/>
              </w:rPr>
            </w:pPr>
            <w:r>
              <w:rPr>
                <w:rFonts w:hint="eastAsia" w:ascii="宋体" w:hAnsi="宋体" w:cs="宋体"/>
                <w:szCs w:val="21"/>
              </w:rPr>
              <w:t>在招标方指定时间内完成各项订餐送餐服务，</w:t>
            </w:r>
            <w:r>
              <w:rPr>
                <w:rFonts w:hint="eastAsia" w:asciiTheme="minorEastAsia" w:hAnsiTheme="minorEastAsia" w:eastAsiaTheme="minorEastAsia"/>
                <w:szCs w:val="21"/>
              </w:rPr>
              <w:t>不按时送</w:t>
            </w:r>
            <w:r>
              <w:rPr>
                <w:rFonts w:asciiTheme="minorEastAsia" w:hAnsiTheme="minorEastAsia" w:eastAsiaTheme="minorEastAsia"/>
                <w:szCs w:val="21"/>
              </w:rPr>
              <w:t>达的</w:t>
            </w:r>
            <w:r>
              <w:rPr>
                <w:rFonts w:hint="eastAsia" w:asciiTheme="minorEastAsia" w:hAnsiTheme="minorEastAsia" w:eastAsiaTheme="minorEastAsia"/>
                <w:szCs w:val="21"/>
              </w:rPr>
              <w:t>扣0.5-1分/次，餐厅不按服务时间提供餐饮扣0.5-1分/次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b/>
                <w:sz w:val="24"/>
                <w:szCs w:val="21"/>
              </w:rPr>
            </w:pPr>
          </w:p>
        </w:tc>
        <w:tc>
          <w:tcPr>
            <w:tcW w:w="720" w:type="dxa"/>
            <w:vMerge w:val="restart"/>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订餐无人接听或落实、送餐货不对板、送餐送错地址等被投诉属实员工餐扣1分/人次，团体餐或病人餐扣2分/人次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饭菜冷、生或变质被投诉属实扣0.5分/次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发现或被投诉服务态度差或拒绝电子支付扣2分/人次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餐具不及时回收影响环境卫生扣0.5分/次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不按指定地点、时间和卫生管理要求乱摆卖等扣1分/次，乱摆卖达3次或以上暂停临时售卖点1个星期，达5次或以上暂停1个月，屡禁不止或外卖车不符合卫生要求取消临时售卖服务</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720"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配合医院做好各项应急供餐和上级交办餐饮相关任务，要具备随时提供每餐3500人次以上特殊应急供餐的能力，未按要求完成扣2-5分/次。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720" w:type="dxa"/>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上级或院方组织的员工及病患者满意度评价，低于80分，或不满意具体意见重复反映2次以上仍未整改的，扣2-5分。</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720" w:type="dxa"/>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r>
              <w:rPr>
                <w:rFonts w:hint="eastAsia" w:asciiTheme="minorEastAsia" w:hAnsiTheme="minorEastAsia" w:eastAsiaTheme="minorEastAsia"/>
                <w:szCs w:val="21"/>
              </w:rPr>
              <w:t>其他</w:t>
            </w:r>
          </w:p>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占用急救电梯、挪用或损坏消防器材、造成其他安全隐患扣2-5分/次，或违反医院管理制度及规定，扣3分/次。</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720" w:type="dxa"/>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670"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餐饮、食材及副食品销售等的特色增值服务，没做到优价优质，或整体服务及质量低于社会上品牌餐饮企业和零售超市的平均服务水平的，扣1-3分。</w:t>
            </w: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720" w:type="dxa"/>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r>
              <w:rPr>
                <w:rFonts w:hint="eastAsia" w:asciiTheme="minorEastAsia" w:hAnsiTheme="minorEastAsia" w:eastAsiaTheme="minorEastAsia"/>
                <w:szCs w:val="21"/>
              </w:rPr>
              <w:t>合计</w:t>
            </w:r>
          </w:p>
        </w:tc>
        <w:tc>
          <w:tcPr>
            <w:tcW w:w="5670"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b/>
                <w:sz w:val="72"/>
                <w:szCs w:val="21"/>
              </w:rPr>
            </w:pPr>
          </w:p>
        </w:tc>
        <w:tc>
          <w:tcPr>
            <w:tcW w:w="215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b/>
                <w:sz w:val="72"/>
                <w:szCs w:val="21"/>
              </w:rPr>
            </w:pPr>
          </w:p>
        </w:tc>
        <w:tc>
          <w:tcPr>
            <w:tcW w:w="720" w:type="dxa"/>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b/>
                <w:color w:val="FF0000"/>
                <w:sz w:val="72"/>
                <w:szCs w:val="21"/>
              </w:rPr>
            </w:pPr>
          </w:p>
        </w:tc>
      </w:tr>
    </w:tbl>
    <w:p>
      <w:pPr>
        <w:rPr>
          <w:rFonts w:asciiTheme="minorEastAsia" w:hAnsiTheme="minorEastAsia" w:eastAsiaTheme="minorEastAsia"/>
          <w:szCs w:val="21"/>
        </w:rPr>
        <w:sectPr>
          <w:headerReference r:id="rId10" w:type="default"/>
          <w:footerReference r:id="rId11" w:type="default"/>
          <w:pgSz w:w="11906" w:h="16839"/>
          <w:pgMar w:top="1455" w:right="1324" w:bottom="1362" w:left="1638" w:header="917" w:footer="1202" w:gutter="0"/>
          <w:cols w:space="720" w:num="1"/>
        </w:sectPr>
      </w:pPr>
    </w:p>
    <w:p>
      <w:pPr>
        <w:pStyle w:val="185"/>
        <w:spacing w:before="360"/>
        <w:ind w:left="-2" w:leftChars="-270" w:hanging="565" w:hangingChars="201"/>
        <w:jc w:val="center"/>
        <w:rPr>
          <w:rStyle w:val="50"/>
          <w:rFonts w:ascii="宋体" w:hAnsi="宋体"/>
          <w:b/>
        </w:rPr>
      </w:pPr>
      <w:bookmarkStart w:id="33" w:name="_Toc121326170"/>
      <w:r>
        <w:rPr>
          <w:rStyle w:val="50"/>
          <w:rFonts w:hint="eastAsia" w:ascii="宋体" w:hAnsi="宋体"/>
          <w:b/>
        </w:rPr>
        <w:t>第四章  合同（样本）</w:t>
      </w:r>
      <w:bookmarkEnd w:id="32"/>
      <w:bookmarkEnd w:id="33"/>
    </w:p>
    <w:p>
      <w:pPr>
        <w:spacing w:line="360" w:lineRule="auto"/>
        <w:rPr>
          <w:rFonts w:ascii="宋体" w:hAnsi="宋体"/>
          <w:b/>
          <w:sz w:val="48"/>
          <w:szCs w:val="48"/>
        </w:rPr>
      </w:pPr>
    </w:p>
    <w:p>
      <w:pPr>
        <w:spacing w:line="360" w:lineRule="auto"/>
        <w:rPr>
          <w:rFonts w:ascii="宋体" w:hAnsi="宋体"/>
          <w:b/>
          <w:sz w:val="48"/>
          <w:szCs w:val="48"/>
        </w:rPr>
      </w:pPr>
    </w:p>
    <w:p>
      <w:pPr>
        <w:tabs>
          <w:tab w:val="left" w:pos="720"/>
        </w:tabs>
        <w:spacing w:line="360" w:lineRule="auto"/>
        <w:rPr>
          <w:rFonts w:ascii="宋体" w:hAnsi="宋体"/>
          <w:b/>
          <w:sz w:val="72"/>
          <w:szCs w:val="72"/>
        </w:rPr>
      </w:pPr>
    </w:p>
    <w:p>
      <w:pPr>
        <w:tabs>
          <w:tab w:val="left" w:pos="720"/>
        </w:tabs>
        <w:spacing w:line="360" w:lineRule="auto"/>
        <w:jc w:val="center"/>
        <w:rPr>
          <w:rFonts w:ascii="宋体" w:hAnsi="宋体"/>
          <w:b/>
          <w:sz w:val="72"/>
          <w:szCs w:val="72"/>
        </w:rPr>
      </w:pPr>
      <w:r>
        <w:rPr>
          <w:rFonts w:hint="eastAsia" w:ascii="宋体" w:hAnsi="宋体"/>
          <w:b/>
          <w:sz w:val="72"/>
          <w:szCs w:val="72"/>
        </w:rPr>
        <w:t>合 同 书</w:t>
      </w:r>
    </w:p>
    <w:p>
      <w:pPr>
        <w:tabs>
          <w:tab w:val="left" w:pos="720"/>
        </w:tabs>
        <w:spacing w:line="360" w:lineRule="auto"/>
        <w:jc w:val="center"/>
        <w:rPr>
          <w:rFonts w:ascii="宋体" w:hAnsi="宋体"/>
          <w:b/>
          <w:sz w:val="44"/>
          <w:szCs w:val="44"/>
        </w:rPr>
      </w:pPr>
    </w:p>
    <w:p>
      <w:pPr>
        <w:tabs>
          <w:tab w:val="left" w:pos="720"/>
        </w:tabs>
        <w:spacing w:line="360" w:lineRule="auto"/>
        <w:jc w:val="center"/>
        <w:rPr>
          <w:rFonts w:ascii="宋体" w:hAnsi="宋体"/>
          <w:b/>
          <w:sz w:val="44"/>
          <w:szCs w:val="44"/>
        </w:rPr>
      </w:pPr>
    </w:p>
    <w:p>
      <w:pPr>
        <w:tabs>
          <w:tab w:val="left" w:pos="720"/>
        </w:tabs>
        <w:spacing w:line="360" w:lineRule="auto"/>
        <w:jc w:val="center"/>
        <w:rPr>
          <w:rFonts w:ascii="宋体" w:hAnsi="宋体"/>
          <w:b/>
          <w:sz w:val="44"/>
          <w:szCs w:val="44"/>
        </w:rPr>
      </w:pPr>
    </w:p>
    <w:p>
      <w:pPr>
        <w:tabs>
          <w:tab w:val="left" w:pos="720"/>
        </w:tabs>
        <w:spacing w:line="360" w:lineRule="auto"/>
        <w:jc w:val="center"/>
        <w:rPr>
          <w:rFonts w:ascii="宋体" w:hAnsi="宋体"/>
          <w:b/>
          <w:sz w:val="44"/>
          <w:szCs w:val="44"/>
        </w:rPr>
      </w:pPr>
    </w:p>
    <w:p>
      <w:pPr>
        <w:tabs>
          <w:tab w:val="left" w:pos="720"/>
        </w:tabs>
        <w:spacing w:line="360" w:lineRule="auto"/>
        <w:ind w:left="1680" w:leftChars="800"/>
        <w:jc w:val="left"/>
        <w:rPr>
          <w:rFonts w:ascii="宋体" w:hAnsi="宋体"/>
          <w:sz w:val="28"/>
          <w:szCs w:val="28"/>
        </w:rPr>
      </w:pPr>
      <w:r>
        <w:rPr>
          <w:rFonts w:hint="eastAsia" w:ascii="宋体" w:hAnsi="宋体"/>
          <w:sz w:val="28"/>
          <w:szCs w:val="28"/>
        </w:rPr>
        <w:t>项目编号：</w:t>
      </w:r>
      <w:r>
        <w:rPr>
          <w:rFonts w:hint="eastAsia" w:ascii="宋体" w:hAnsi="宋体"/>
          <w:szCs w:val="21"/>
          <w:u w:val="single"/>
        </w:rPr>
        <w:t>　　　　　　　　　　</w:t>
      </w:r>
      <w:r>
        <w:rPr>
          <w:rFonts w:hint="eastAsia" w:ascii="宋体" w:hAnsi="宋体"/>
          <w:b/>
          <w:szCs w:val="21"/>
          <w:u w:val="single"/>
        </w:rPr>
        <w:t xml:space="preserve">　　　　　　    　　　　　　　       　  </w:t>
      </w:r>
    </w:p>
    <w:p>
      <w:pPr>
        <w:tabs>
          <w:tab w:val="left" w:pos="720"/>
        </w:tabs>
        <w:spacing w:line="360" w:lineRule="auto"/>
        <w:ind w:left="1680" w:leftChars="800"/>
        <w:jc w:val="left"/>
        <w:rPr>
          <w:rFonts w:ascii="宋体" w:hAnsi="宋体"/>
          <w:sz w:val="28"/>
          <w:szCs w:val="28"/>
        </w:rPr>
      </w:pPr>
    </w:p>
    <w:p>
      <w:pPr>
        <w:tabs>
          <w:tab w:val="left" w:pos="720"/>
        </w:tabs>
        <w:spacing w:line="360" w:lineRule="auto"/>
        <w:ind w:left="1680" w:leftChars="800"/>
        <w:jc w:val="left"/>
        <w:rPr>
          <w:rFonts w:ascii="宋体" w:hAnsi="宋体"/>
          <w:sz w:val="28"/>
          <w:szCs w:val="28"/>
        </w:rPr>
      </w:pPr>
      <w:r>
        <w:rPr>
          <w:rFonts w:hint="eastAsia" w:ascii="宋体" w:hAnsi="宋体"/>
          <w:sz w:val="28"/>
          <w:szCs w:val="28"/>
        </w:rPr>
        <w:t>项目名称：</w:t>
      </w:r>
      <w:r>
        <w:rPr>
          <w:rFonts w:hint="eastAsia" w:ascii="宋体" w:hAnsi="宋体"/>
          <w:szCs w:val="21"/>
          <w:u w:val="single"/>
        </w:rPr>
        <w:t>　　　　　　　　　　</w:t>
      </w:r>
      <w:r>
        <w:rPr>
          <w:rFonts w:hint="eastAsia" w:ascii="宋体" w:hAnsi="宋体"/>
          <w:b/>
          <w:szCs w:val="21"/>
          <w:u w:val="single"/>
        </w:rPr>
        <w:t xml:space="preserve">　　　　　　    　　　　　　　       　  </w:t>
      </w:r>
    </w:p>
    <w:p>
      <w:pPr>
        <w:tabs>
          <w:tab w:val="left" w:pos="720"/>
        </w:tabs>
        <w:spacing w:line="360" w:lineRule="auto"/>
        <w:ind w:left="1680" w:leftChars="800"/>
        <w:jc w:val="left"/>
        <w:rPr>
          <w:rFonts w:ascii="宋体" w:hAnsi="宋体"/>
          <w:sz w:val="28"/>
          <w:szCs w:val="28"/>
        </w:rPr>
      </w:pPr>
    </w:p>
    <w:p>
      <w:pPr>
        <w:tabs>
          <w:tab w:val="left" w:pos="720"/>
        </w:tabs>
        <w:spacing w:line="360" w:lineRule="auto"/>
        <w:ind w:left="1680" w:leftChars="800"/>
        <w:jc w:val="left"/>
        <w:rPr>
          <w:rFonts w:ascii="宋体" w:hAnsi="宋体"/>
          <w:sz w:val="28"/>
          <w:szCs w:val="28"/>
          <w:u w:val="single"/>
        </w:rPr>
      </w:pPr>
      <w:r>
        <w:rPr>
          <w:rFonts w:hint="eastAsia" w:ascii="宋体" w:hAnsi="宋体"/>
          <w:sz w:val="28"/>
          <w:szCs w:val="28"/>
        </w:rPr>
        <w:t>签订日期：</w:t>
      </w:r>
      <w:r>
        <w:rPr>
          <w:rFonts w:hint="eastAsia" w:ascii="宋体" w:hAnsi="宋体"/>
          <w:szCs w:val="21"/>
          <w:u w:val="single"/>
        </w:rPr>
        <w:t>　　　　　　　　　　</w:t>
      </w:r>
      <w:r>
        <w:rPr>
          <w:rFonts w:hint="eastAsia" w:ascii="宋体" w:hAnsi="宋体"/>
          <w:b/>
          <w:szCs w:val="21"/>
          <w:u w:val="single"/>
        </w:rPr>
        <w:t xml:space="preserve">　　　　　　    　　　　　　　       　  </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pageBreakBefore/>
        <w:spacing w:beforeLines="100"/>
        <w:rPr>
          <w:rFonts w:ascii="宋体" w:hAnsi="宋体"/>
          <w:b/>
          <w:szCs w:val="21"/>
          <w:u w:val="single"/>
        </w:rPr>
      </w:pPr>
      <w:bookmarkStart w:id="34" w:name="_Toc398196950"/>
      <w:r>
        <w:rPr>
          <w:rFonts w:hint="eastAsia" w:ascii="宋体" w:hAnsi="宋体"/>
          <w:b/>
          <w:szCs w:val="21"/>
        </w:rPr>
        <w:t>甲方（招标人）：</w:t>
      </w:r>
    </w:p>
    <w:p>
      <w:pPr>
        <w:spacing w:beforeLines="50"/>
        <w:rPr>
          <w:rFonts w:ascii="宋体" w:hAnsi="宋体"/>
          <w:b/>
          <w:szCs w:val="21"/>
          <w:u w:val="single"/>
        </w:rPr>
      </w:pPr>
      <w:r>
        <w:rPr>
          <w:rFonts w:hint="eastAsia" w:ascii="宋体" w:hAnsi="宋体"/>
          <w:szCs w:val="21"/>
        </w:rPr>
        <w:t>地　　址：</w:t>
      </w:r>
      <w:r>
        <w:rPr>
          <w:rFonts w:hint="eastAsia" w:ascii="宋体" w:hAnsi="宋体"/>
          <w:szCs w:val="21"/>
          <w:u w:val="single"/>
        </w:rPr>
        <w:t>　　　　　　　　　　</w:t>
      </w:r>
      <w:r>
        <w:rPr>
          <w:rFonts w:hint="eastAsia" w:ascii="宋体" w:hAnsi="宋体"/>
          <w:b/>
          <w:szCs w:val="21"/>
          <w:u w:val="single"/>
        </w:rPr>
        <w:t xml:space="preserve">　　　　　　    　　　 　　　　       　 </w:t>
      </w:r>
    </w:p>
    <w:p>
      <w:pPr>
        <w:spacing w:beforeLines="50"/>
        <w:rPr>
          <w:rFonts w:ascii="宋体" w:hAnsi="宋体"/>
          <w:b/>
          <w:szCs w:val="21"/>
          <w:u w:val="single"/>
        </w:rPr>
      </w:pPr>
      <w:r>
        <w:rPr>
          <w:rFonts w:hint="eastAsia" w:ascii="宋体" w:hAnsi="宋体"/>
          <w:szCs w:val="21"/>
        </w:rPr>
        <w:t>联系电话：</w:t>
      </w:r>
      <w:r>
        <w:rPr>
          <w:rFonts w:hint="eastAsia" w:ascii="宋体" w:hAnsi="宋体"/>
          <w:b/>
          <w:szCs w:val="21"/>
          <w:u w:val="single"/>
        </w:rPr>
        <w:t xml:space="preserve">　　　　　　    　　　　　　　    　　　　　　　　       　  </w:t>
      </w:r>
    </w:p>
    <w:p>
      <w:pPr>
        <w:spacing w:beforeLines="50"/>
        <w:rPr>
          <w:rFonts w:ascii="宋体" w:hAnsi="宋体"/>
          <w:b/>
          <w:szCs w:val="21"/>
        </w:rPr>
      </w:pPr>
      <w:r>
        <w:rPr>
          <w:rFonts w:hint="eastAsia" w:ascii="宋体" w:hAnsi="宋体"/>
          <w:b/>
          <w:szCs w:val="21"/>
        </w:rPr>
        <w:t>乙方（中标人）：</w:t>
      </w:r>
      <w:r>
        <w:rPr>
          <w:rFonts w:hint="eastAsia" w:ascii="宋体" w:hAnsi="宋体"/>
          <w:b/>
          <w:szCs w:val="21"/>
          <w:u w:val="single"/>
        </w:rPr>
        <w:t xml:space="preserve">　　　　　　    　　　　　　　　    　　　　　　　　    </w:t>
      </w:r>
    </w:p>
    <w:p>
      <w:pPr>
        <w:spacing w:beforeLines="50"/>
        <w:rPr>
          <w:rFonts w:ascii="宋体" w:hAnsi="宋体"/>
          <w:szCs w:val="21"/>
        </w:rPr>
      </w:pPr>
      <w:r>
        <w:rPr>
          <w:rFonts w:hint="eastAsia" w:ascii="宋体" w:hAnsi="宋体"/>
          <w:szCs w:val="21"/>
        </w:rPr>
        <w:t>地　　址：</w:t>
      </w:r>
      <w:r>
        <w:rPr>
          <w:rFonts w:hint="eastAsia" w:ascii="宋体" w:hAnsi="宋体"/>
          <w:b/>
          <w:szCs w:val="21"/>
          <w:u w:val="single"/>
        </w:rPr>
        <w:t>　　　　　　    　　　　　　　　    　　　　　　　　     　　</w:t>
      </w:r>
    </w:p>
    <w:p>
      <w:pPr>
        <w:spacing w:beforeLines="50"/>
        <w:rPr>
          <w:rFonts w:ascii="宋体" w:hAnsi="宋体"/>
          <w:szCs w:val="21"/>
        </w:rPr>
      </w:pPr>
      <w:r>
        <w:rPr>
          <w:rFonts w:hint="eastAsia" w:ascii="宋体" w:hAnsi="宋体"/>
          <w:szCs w:val="21"/>
        </w:rPr>
        <w:t>联系电话：</w:t>
      </w:r>
      <w:r>
        <w:rPr>
          <w:rFonts w:hint="eastAsia" w:ascii="宋体" w:hAnsi="宋体"/>
          <w:b/>
          <w:szCs w:val="21"/>
          <w:u w:val="single"/>
        </w:rPr>
        <w:t>　　　　　　    　　　　　　　　    　　　　　　　　     　　</w:t>
      </w: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根据番禺中心医院医疗集团饭堂委托运营服务采购项目的招标结果，按照《中华人民共和国民法典》及有关规定，为明确甲方、乙方的权利义务，本着公平、公正、自愿的原则，经充分友好协商一致，签订本合同，供双方共同遵守。</w:t>
      </w:r>
    </w:p>
    <w:p>
      <w:pPr>
        <w:ind w:firstLine="422" w:firstLineChars="200"/>
        <w:rPr>
          <w:rFonts w:ascii="宋体" w:hAnsi="宋体"/>
          <w:b/>
        </w:rPr>
      </w:pPr>
      <w:r>
        <w:rPr>
          <w:rFonts w:hint="eastAsia" w:ascii="宋体" w:hAnsi="宋体"/>
          <w:b/>
        </w:rPr>
        <w:t>一、合同价款</w:t>
      </w:r>
    </w:p>
    <w:p>
      <w:pPr>
        <w:ind w:firstLine="420" w:firstLineChars="200"/>
        <w:rPr>
          <w:rFonts w:ascii="宋体" w:hAnsi="宋体"/>
        </w:rPr>
      </w:pPr>
      <w:r>
        <w:rPr>
          <w:rFonts w:hint="eastAsia" w:ascii="宋体" w:hAnsi="宋体"/>
        </w:rPr>
        <w:t>（一）合同金额（投入资金总额）：元。</w:t>
      </w:r>
    </w:p>
    <w:p>
      <w:pPr>
        <w:ind w:firstLine="420" w:firstLineChars="200"/>
        <w:rPr>
          <w:rFonts w:ascii="宋体" w:hAnsi="宋体"/>
        </w:rPr>
      </w:pPr>
      <w:r>
        <w:rPr>
          <w:rFonts w:hint="eastAsia" w:ascii="宋体" w:hAnsi="宋体"/>
        </w:rPr>
        <w:t>1.</w:t>
      </w:r>
      <w:r>
        <w:rPr>
          <w:rFonts w:hint="eastAsia" w:asciiTheme="minorEastAsia" w:hAnsiTheme="minorEastAsia" w:eastAsiaTheme="minorEastAsia"/>
          <w:szCs w:val="21"/>
        </w:rPr>
        <w:t>对</w:t>
      </w:r>
      <w:r>
        <w:rPr>
          <w:rFonts w:hint="eastAsia" w:ascii="宋体" w:hAnsi="宋体"/>
          <w:szCs w:val="21"/>
        </w:rPr>
        <w:t>广州市番禺区中心医院饭堂改造及环境提升投入资金</w:t>
      </w:r>
      <w:r>
        <w:rPr>
          <w:rFonts w:hint="eastAsia" w:ascii="宋体" w:hAnsi="宋体"/>
        </w:rPr>
        <w:t>：元。</w:t>
      </w:r>
    </w:p>
    <w:p>
      <w:pPr>
        <w:ind w:firstLine="424" w:firstLineChars="202"/>
        <w:rPr>
          <w:rFonts w:ascii="宋体" w:hAnsi="宋体"/>
        </w:rPr>
      </w:pPr>
      <w:r>
        <w:rPr>
          <w:rFonts w:hint="eastAsia" w:asciiTheme="minorEastAsia" w:hAnsiTheme="minorEastAsia" w:eastAsiaTheme="minorEastAsia"/>
          <w:szCs w:val="21"/>
        </w:rPr>
        <w:t>2.对</w:t>
      </w:r>
      <w:r>
        <w:rPr>
          <w:rFonts w:hint="eastAsia" w:ascii="宋体" w:hAnsi="宋体"/>
          <w:szCs w:val="21"/>
        </w:rPr>
        <w:t>广州市番禺区中心医院饭堂</w:t>
      </w:r>
      <w:r>
        <w:rPr>
          <w:rFonts w:hint="eastAsia" w:asciiTheme="minorEastAsia" w:hAnsiTheme="minorEastAsia" w:eastAsiaTheme="minorEastAsia"/>
          <w:szCs w:val="21"/>
        </w:rPr>
        <w:t>现有设备进行维护和更新</w:t>
      </w:r>
      <w:r>
        <w:rPr>
          <w:rFonts w:hint="eastAsia" w:ascii="宋体" w:hAnsi="宋体"/>
          <w:szCs w:val="21"/>
        </w:rPr>
        <w:t>投入资金</w:t>
      </w:r>
      <w:r>
        <w:rPr>
          <w:rFonts w:hint="eastAsia" w:ascii="宋体" w:hAnsi="宋体"/>
        </w:rPr>
        <w:t>：元。</w:t>
      </w:r>
    </w:p>
    <w:p>
      <w:pPr>
        <w:ind w:firstLine="424" w:firstLineChars="202"/>
        <w:rPr>
          <w:rFonts w:ascii="宋体" w:hAnsi="宋体"/>
        </w:rPr>
      </w:pPr>
      <w:r>
        <w:rPr>
          <w:rFonts w:hint="eastAsia" w:ascii="宋体" w:hAnsi="宋体"/>
          <w:szCs w:val="21"/>
        </w:rPr>
        <w:t>3.对</w:t>
      </w:r>
      <w:r>
        <w:rPr>
          <w:rFonts w:hint="eastAsia" w:asciiTheme="minorEastAsia" w:hAnsiTheme="minorEastAsia" w:eastAsiaTheme="minorEastAsia"/>
          <w:szCs w:val="21"/>
        </w:rPr>
        <w:t>广州市番禺区第七人民医院饭堂进行改造投入资金：元。</w:t>
      </w:r>
    </w:p>
    <w:p>
      <w:pPr>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二、项目内容：</w:t>
      </w:r>
    </w:p>
    <w:p>
      <w:pPr>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番禺中心医院医疗集团包括广州市番禺区中心医院（院本部）及广州市番禺区第七人民医院（东院区），两个院区分别设置了饭堂，乙方获取两个饭堂的委托运营服务，乙方需分别与广州市番禺区中心医院及广州市番禺区第七人民医院签订合同。</w:t>
      </w:r>
    </w:p>
    <w:p>
      <w:pPr>
        <w:ind w:firstLine="426" w:firstLineChars="202"/>
        <w:rPr>
          <w:rFonts w:asciiTheme="minorEastAsia" w:hAnsiTheme="minorEastAsia" w:eastAsiaTheme="minorEastAsia"/>
          <w:b/>
          <w:szCs w:val="21"/>
        </w:rPr>
      </w:pPr>
      <w:r>
        <w:rPr>
          <w:rFonts w:hint="eastAsia" w:asciiTheme="minorEastAsia" w:hAnsiTheme="minorEastAsia" w:eastAsiaTheme="minorEastAsia"/>
          <w:b/>
          <w:szCs w:val="21"/>
        </w:rPr>
        <w:t>三、项目概述</w:t>
      </w:r>
    </w:p>
    <w:p>
      <w:pPr>
        <w:ind w:firstLine="420" w:firstLineChars="200"/>
        <w:rPr>
          <w:rFonts w:asciiTheme="minorEastAsia" w:hAnsiTheme="minorEastAsia"/>
          <w:szCs w:val="21"/>
        </w:rPr>
      </w:pPr>
      <w:r>
        <w:rPr>
          <w:rFonts w:hint="eastAsia" w:asciiTheme="minorEastAsia" w:hAnsiTheme="minorEastAsia"/>
          <w:szCs w:val="21"/>
        </w:rPr>
        <w:t>广州市番禺区中心医院为三级甲等综合医院，开放床位</w:t>
      </w:r>
      <w:r>
        <w:rPr>
          <w:rFonts w:asciiTheme="minorEastAsia" w:hAnsiTheme="minorEastAsia"/>
          <w:szCs w:val="21"/>
        </w:rPr>
        <w:t>1463</w:t>
      </w:r>
      <w:r>
        <w:rPr>
          <w:rFonts w:hint="eastAsia" w:asciiTheme="minorEastAsia" w:hAnsiTheme="minorEastAsia"/>
          <w:szCs w:val="21"/>
        </w:rPr>
        <w:t>张，日均门诊量约6500人次，饭堂建筑面积约2500平方米；广州市番禺区第七人民医院开放床位</w:t>
      </w:r>
      <w:r>
        <w:rPr>
          <w:rFonts w:asciiTheme="minorEastAsia" w:hAnsiTheme="minorEastAsia"/>
          <w:szCs w:val="21"/>
        </w:rPr>
        <w:t>157</w:t>
      </w:r>
      <w:r>
        <w:rPr>
          <w:rFonts w:hint="eastAsia" w:asciiTheme="minorEastAsia" w:hAnsiTheme="minorEastAsia"/>
          <w:szCs w:val="21"/>
        </w:rPr>
        <w:t>张，日均门诊量约800人次，饭堂约300平方米。两单位日总就餐量约3500人次，服务对象主要为住院患者及家属、医院员工、院内第三方工作人员及院内其他人员等，供餐类别主要为住院患者营养餐、工作人员工作餐等。</w:t>
      </w:r>
    </w:p>
    <w:p>
      <w:pPr>
        <w:ind w:firstLine="420" w:firstLineChars="200"/>
        <w:rPr>
          <w:rFonts w:asciiTheme="minorEastAsia" w:hAnsiTheme="minorEastAsia"/>
          <w:szCs w:val="21"/>
        </w:rPr>
      </w:pPr>
      <w:r>
        <w:rPr>
          <w:rFonts w:hint="eastAsia" w:asciiTheme="minorEastAsia" w:hAnsiTheme="minorEastAsia"/>
          <w:szCs w:val="21"/>
        </w:rPr>
        <w:t>乙方须具有合法的《食品经营许可证》及具有2年以上团餐经营经验。</w:t>
      </w:r>
    </w:p>
    <w:p>
      <w:pPr>
        <w:rPr>
          <w:rFonts w:asciiTheme="minorEastAsia" w:hAnsiTheme="minorEastAsia"/>
          <w:szCs w:val="21"/>
        </w:rPr>
      </w:pPr>
      <w:r>
        <w:rPr>
          <w:rFonts w:hint="eastAsia" w:asciiTheme="minorEastAsia" w:hAnsiTheme="minorEastAsia"/>
          <w:szCs w:val="21"/>
        </w:rPr>
        <w:t xml:space="preserve">    (一)项目名称：番禺中心医院医疗集团饭堂委托运营服务采购项目</w:t>
      </w:r>
    </w:p>
    <w:p>
      <w:pPr>
        <w:rPr>
          <w:rFonts w:asciiTheme="minorEastAsia" w:hAnsiTheme="minorEastAsia"/>
          <w:szCs w:val="21"/>
        </w:rPr>
      </w:pPr>
      <w:r>
        <w:rPr>
          <w:rFonts w:hint="eastAsia" w:asciiTheme="minorEastAsia" w:hAnsiTheme="minorEastAsia"/>
          <w:szCs w:val="21"/>
        </w:rPr>
        <w:t xml:space="preserve">    (二)经营服务范围：按医院饭堂卫生经营许可证范围经营，不得超出经营范围，乙方负责其餐饮场所的餐饮卫生许可证的相关续期变更申报验收等手续及其费用。饭堂以营养配餐、大众餐饮及地方特色风味搭配，主要面向员工及病患提供餐饮服务，要体现公益性公立医院饭堂的公益性、服务性，饭菜价格低于周边社会餐饮同等水平；同时需具备提供特殊病患营养配餐和工作围餐服务的能力。</w:t>
      </w:r>
    </w:p>
    <w:p>
      <w:pPr>
        <w:rPr>
          <w:rFonts w:asciiTheme="minorEastAsia" w:hAnsiTheme="minorEastAsia"/>
          <w:szCs w:val="21"/>
        </w:rPr>
      </w:pPr>
      <w:r>
        <w:rPr>
          <w:rFonts w:hint="eastAsia" w:asciiTheme="minorEastAsia" w:hAnsiTheme="minorEastAsia"/>
          <w:szCs w:val="21"/>
        </w:rPr>
        <w:t xml:space="preserve">    (三)乙方必须对项目进行整体投标，不允许仅对其中部分内容进行投标。</w:t>
      </w:r>
    </w:p>
    <w:p>
      <w:pPr>
        <w:rPr>
          <w:rFonts w:asciiTheme="minorEastAsia" w:hAnsiTheme="minorEastAsia"/>
          <w:szCs w:val="21"/>
        </w:rPr>
      </w:pPr>
      <w:r>
        <w:rPr>
          <w:rFonts w:hint="eastAsia" w:asciiTheme="minorEastAsia" w:hAnsiTheme="minorEastAsia"/>
          <w:szCs w:val="21"/>
        </w:rPr>
        <w:t xml:space="preserve">    (四)运营服务期限：自2023年5月1日至2026年4月30日。</w:t>
      </w:r>
    </w:p>
    <w:p>
      <w:pPr>
        <w:ind w:firstLine="420" w:firstLineChars="200"/>
        <w:rPr>
          <w:rFonts w:asciiTheme="minorEastAsia" w:hAnsiTheme="minorEastAsia"/>
          <w:szCs w:val="21"/>
        </w:rPr>
      </w:pPr>
      <w:r>
        <w:rPr>
          <w:rFonts w:hint="eastAsia" w:asciiTheme="minorEastAsia" w:hAnsiTheme="minorEastAsia"/>
          <w:szCs w:val="21"/>
        </w:rPr>
        <w:t>(五)服务模式：乙方在合同期内，以自主经营、自负盈亏的方式进行运营，对饭堂运营全面负责。</w:t>
      </w:r>
    </w:p>
    <w:p>
      <w:pPr>
        <w:ind w:firstLine="420" w:firstLineChars="200"/>
        <w:rPr>
          <w:rFonts w:asciiTheme="minorEastAsia" w:hAnsiTheme="minorEastAsia"/>
          <w:szCs w:val="21"/>
        </w:rPr>
      </w:pPr>
      <w:r>
        <w:rPr>
          <w:rFonts w:hint="eastAsia" w:asciiTheme="minorEastAsia" w:hAnsiTheme="minorEastAsia"/>
          <w:szCs w:val="21"/>
        </w:rPr>
        <w:t>(六)乙方投入广州市番禺区中心医院饭堂改造及环境提升万元（RMB）的资金，投入万元（RMB）的资金对现有设备进行维护和更新。广州市番禺区第七人民医院饭堂投入万元（RMB）的资金对运营服务的饭堂进行改造。在甲方对应场所现有设备、设施的基础上，乙方需按甲方要求提交投入资金方案。投入设施设备均应为新购置的全新设备，从2023年5月1日起3个月内按甲方要求完成场地改造和设施设备的投入，所有改造和投入的设施设备均须经甲方验收合格后才可投入使用，乙方需对改造方案、设备设施投入、完成时间等做出书面承诺和制订具体方案。项目到期后，根据招标文件、投标文件、投入方案及补充协议等投入的所有物资及装修等归甲方所有</w:t>
      </w:r>
      <w:r>
        <w:rPr>
          <w:rFonts w:hint="eastAsia" w:asciiTheme="minorEastAsia" w:hAnsiTheme="minorEastAsia" w:eastAsiaTheme="minorEastAsia"/>
          <w:szCs w:val="21"/>
        </w:rPr>
        <w:t>；所投入金额涉及工程</w:t>
      </w:r>
      <w:r>
        <w:rPr>
          <w:rFonts w:hint="eastAsia" w:ascii="宋体" w:hAnsi="宋体" w:cs="宋体"/>
          <w:szCs w:val="21"/>
        </w:rPr>
        <w:t>及设施设备的以甲方指定的第三方评审机构出具的评审报告为准。</w:t>
      </w:r>
    </w:p>
    <w:p>
      <w:pPr>
        <w:ind w:firstLine="420" w:firstLineChars="200"/>
        <w:rPr>
          <w:rFonts w:asciiTheme="minorEastAsia" w:hAnsiTheme="minorEastAsia"/>
          <w:szCs w:val="21"/>
        </w:rPr>
      </w:pPr>
      <w:r>
        <w:rPr>
          <w:rFonts w:hint="eastAsia" w:asciiTheme="minorEastAsia" w:hAnsiTheme="minorEastAsia"/>
          <w:szCs w:val="21"/>
        </w:rPr>
        <w:t>(七)乙方在经营过程中，不得存在转包、分包或挂靠经营行为，一经发现属违约行为，将勒令限期整改，限期结束仍未按甲方要求整改则直接解除合同；或者直接解除合同并责令限期退出；因乙方违约行为而解除合同，不予退还经营风险保证金，同时对乙方已发生的投入，甲方不作任何赔付。</w:t>
      </w:r>
    </w:p>
    <w:p>
      <w:pPr>
        <w:ind w:firstLine="420" w:firstLineChars="200"/>
        <w:rPr>
          <w:rFonts w:asciiTheme="minorEastAsia" w:hAnsiTheme="minorEastAsia"/>
          <w:szCs w:val="21"/>
        </w:rPr>
      </w:pPr>
      <w:r>
        <w:rPr>
          <w:rFonts w:hint="eastAsia" w:asciiTheme="minorEastAsia" w:hAnsiTheme="minorEastAsia"/>
          <w:szCs w:val="21"/>
        </w:rPr>
        <w:t>(八)甲方始终拥有对本项目的最终管理权。乙方在日常运营工作中应遵守甲方制定的有关规章制度，保障饭堂食品安全。</w:t>
      </w:r>
    </w:p>
    <w:p>
      <w:pPr>
        <w:ind w:firstLine="420" w:firstLineChars="200"/>
        <w:rPr>
          <w:rFonts w:asciiTheme="minorEastAsia" w:hAnsiTheme="minorEastAsia"/>
          <w:szCs w:val="21"/>
        </w:rPr>
      </w:pPr>
      <w:r>
        <w:rPr>
          <w:rFonts w:hint="eastAsia" w:asciiTheme="minorEastAsia" w:hAnsiTheme="minorEastAsia"/>
          <w:szCs w:val="21"/>
        </w:rPr>
        <w:t>(九)乙方承诺广州市番禺中心医院饭堂和广州市番禺区第七人民医院饭堂在2023年5月1日起提供双方合同约定的餐饮服务，同时乙方须制定符合甲方要求的饭堂改造期间的餐饮保障方案，保证改造期间提供正常餐饮服务。</w:t>
      </w:r>
    </w:p>
    <w:p>
      <w:pPr>
        <w:ind w:firstLine="420" w:firstLineChars="200"/>
        <w:rPr>
          <w:rFonts w:asciiTheme="minorEastAsia" w:hAnsiTheme="minorEastAsia"/>
          <w:szCs w:val="21"/>
        </w:rPr>
      </w:pPr>
      <w:r>
        <w:rPr>
          <w:rFonts w:hint="eastAsia" w:asciiTheme="minorEastAsia" w:hAnsiTheme="minorEastAsia"/>
          <w:szCs w:val="21"/>
        </w:rPr>
        <w:t>(十)乙方具备完善的管理制度和丰富的餐饮管理经验，诚信度高，安全意识强，管理团队稳定，运营本项目的员工人数应与其经营规模及服务相适应。</w:t>
      </w:r>
    </w:p>
    <w:p>
      <w:pPr>
        <w:ind w:firstLine="420" w:firstLineChars="200"/>
        <w:rPr>
          <w:rFonts w:asciiTheme="minorEastAsia" w:hAnsiTheme="minorEastAsia"/>
          <w:szCs w:val="21"/>
        </w:rPr>
      </w:pPr>
      <w:r>
        <w:rPr>
          <w:rFonts w:hint="eastAsia" w:asciiTheme="minorEastAsia" w:hAnsiTheme="minorEastAsia"/>
          <w:szCs w:val="21"/>
        </w:rPr>
        <w:t>(十一)乙方熟悉了解综合性三甲医院餐饮服务的规律，认知公益性公立医院餐饮服务的公益性、保障性、时效性、不确定性等特征，注重社会效益，履行保障、健康、营养辅助的职责。</w:t>
      </w:r>
    </w:p>
    <w:p>
      <w:pPr>
        <w:ind w:firstLine="420" w:firstLineChars="200"/>
        <w:rPr>
          <w:rFonts w:asciiTheme="minorEastAsia" w:hAnsiTheme="minorEastAsia"/>
          <w:szCs w:val="21"/>
        </w:rPr>
      </w:pPr>
      <w:r>
        <w:rPr>
          <w:rFonts w:hint="eastAsia" w:asciiTheme="minorEastAsia" w:hAnsiTheme="minorEastAsia"/>
          <w:szCs w:val="21"/>
        </w:rPr>
        <w:t>(十二) 乙方须提交《项目实施方案》，包括但不限于《餐饮种类及定价方案》、《食堂改造方案》、《服务提升方案》、《信息化服务方案》、《应急供餐方案》（根据甲方质量要求，在4小时内指定地点保障提供每餐3500人次以上特殊应急供餐）等内容，乙方中标后经甲方确认后实施。合同期内因实际需要调整方案的，经甲方确认《项目实施补充方案》后实施。</w:t>
      </w:r>
    </w:p>
    <w:p>
      <w:pPr>
        <w:ind w:firstLine="426" w:firstLineChars="202"/>
        <w:rPr>
          <w:rFonts w:asciiTheme="minorEastAsia" w:hAnsiTheme="minorEastAsia" w:eastAsiaTheme="minorEastAsia"/>
          <w:b/>
          <w:szCs w:val="21"/>
        </w:rPr>
      </w:pPr>
      <w:r>
        <w:rPr>
          <w:rFonts w:hint="eastAsia" w:asciiTheme="minorEastAsia" w:hAnsiTheme="minorEastAsia" w:eastAsiaTheme="minorEastAsia"/>
          <w:b/>
          <w:szCs w:val="21"/>
        </w:rPr>
        <w:t>四、需求描述</w:t>
      </w:r>
    </w:p>
    <w:p>
      <w:pPr>
        <w:ind w:firstLine="422" w:firstLineChars="200"/>
        <w:rPr>
          <w:rFonts w:asciiTheme="minorEastAsia" w:hAnsiTheme="minorEastAsia"/>
          <w:b/>
          <w:bCs/>
          <w:szCs w:val="21"/>
        </w:rPr>
      </w:pPr>
      <w:r>
        <w:rPr>
          <w:rFonts w:asciiTheme="minorEastAsia" w:hAnsiTheme="minorEastAsia"/>
          <w:b/>
          <w:bCs/>
          <w:szCs w:val="21"/>
        </w:rPr>
        <w:t xml:space="preserve"> (</w:t>
      </w:r>
      <w:r>
        <w:rPr>
          <w:rFonts w:hint="eastAsia" w:asciiTheme="minorEastAsia" w:hAnsiTheme="minorEastAsia"/>
          <w:b/>
          <w:bCs/>
          <w:szCs w:val="21"/>
        </w:rPr>
        <w:t>一</w:t>
      </w:r>
      <w:r>
        <w:rPr>
          <w:rFonts w:asciiTheme="minorEastAsia" w:hAnsiTheme="minorEastAsia"/>
          <w:b/>
          <w:bCs/>
          <w:szCs w:val="21"/>
        </w:rPr>
        <w:t>)</w:t>
      </w:r>
      <w:r>
        <w:rPr>
          <w:rFonts w:hint="eastAsia" w:asciiTheme="minorEastAsia" w:hAnsiTheme="minorEastAsia"/>
          <w:b/>
          <w:bCs/>
          <w:szCs w:val="21"/>
        </w:rPr>
        <w:t>饭堂改造要求</w:t>
      </w:r>
    </w:p>
    <w:p>
      <w:pPr>
        <w:ind w:firstLine="420" w:firstLineChars="200"/>
        <w:rPr>
          <w:rFonts w:asciiTheme="minorEastAsia" w:hAnsiTheme="minorEastAsia"/>
          <w:szCs w:val="21"/>
        </w:rPr>
      </w:pPr>
      <w:r>
        <w:rPr>
          <w:rFonts w:hint="eastAsia" w:asciiTheme="minorEastAsia" w:hAnsiTheme="minorEastAsia"/>
          <w:szCs w:val="21"/>
        </w:rPr>
        <w:t>1.乙方必须投入一定的资金，对广州市番禺区中心医院和广州市番禺区第七人民医院的饭堂厨房及就餐区域进行统一的改造和环境提升，并承诺在进场后3个月内完成。投入资金必须完成（包括但不限于）以下项目:</w:t>
      </w:r>
    </w:p>
    <w:p>
      <w:pPr>
        <w:ind w:firstLine="420" w:firstLineChars="200"/>
        <w:rPr>
          <w:rFonts w:asciiTheme="minorEastAsia" w:hAnsiTheme="minorEastAsia"/>
          <w:szCs w:val="21"/>
        </w:rPr>
      </w:pPr>
      <w:r>
        <w:rPr>
          <w:rFonts w:hint="eastAsia" w:asciiTheme="minorEastAsia" w:hAnsiTheme="minorEastAsia"/>
          <w:szCs w:val="21"/>
        </w:rPr>
        <w:t>1)广州市番禺区中心医院饭堂改造部分</w:t>
      </w:r>
    </w:p>
    <w:p>
      <w:pPr>
        <w:ind w:firstLine="420" w:firstLineChars="200"/>
        <w:rPr>
          <w:rFonts w:asciiTheme="minorEastAsia" w:hAnsiTheme="minorEastAsia"/>
          <w:szCs w:val="21"/>
        </w:rPr>
      </w:pPr>
      <w:r>
        <w:rPr>
          <w:rFonts w:hint="eastAsia" w:asciiTheme="minorEastAsia" w:hAnsiTheme="minorEastAsia"/>
          <w:szCs w:val="21"/>
        </w:rPr>
        <w:t>①以医院划定的区域为界，把负一层的主要厨房功能区域搬至一楼，重新改造及整理饭堂厨房工作流程，打通改造后的一楼厨房与员工餐厅配餐间通道。改造后的饭堂厨房、食品加工操作流程必须符合食品卫生、消防安全、环境保护等相关法规要求。按实际需要更新购置（包括但不限于）厨房设备、水电设施、煤气管道、炉具、抽油烟设备、新风通风设备、隔油隔污设施、消防安全设备设施、特殊营养餐保障设施等。所有装修改造方案必须符合国家行业主管部门和甲方的要求，并经甲方签名确认同意才能实施。（具体方案及投入设备见附件）</w:t>
      </w:r>
    </w:p>
    <w:p>
      <w:pPr>
        <w:ind w:firstLine="420" w:firstLineChars="200"/>
        <w:rPr>
          <w:rFonts w:asciiTheme="minorEastAsia" w:hAnsiTheme="minorEastAsia"/>
          <w:szCs w:val="21"/>
        </w:rPr>
      </w:pPr>
      <w:r>
        <w:rPr>
          <w:rFonts w:hint="eastAsia" w:asciiTheme="minorEastAsia" w:hAnsiTheme="minorEastAsia"/>
          <w:szCs w:val="21"/>
        </w:rPr>
        <w:t>②职工餐厅及营养餐厅改造提升。乙方需对就餐区域的空调、餐桌、餐椅进行更新，并须符合相关食品安全及疫情防控等管理要求，对天花和墙面进行翻新。</w:t>
      </w:r>
    </w:p>
    <w:p>
      <w:pPr>
        <w:ind w:firstLine="420" w:firstLineChars="200"/>
        <w:rPr>
          <w:rFonts w:asciiTheme="minorEastAsia" w:hAnsiTheme="minorEastAsia"/>
          <w:szCs w:val="21"/>
        </w:rPr>
      </w:pPr>
      <w:r>
        <w:rPr>
          <w:rFonts w:hint="eastAsia" w:asciiTheme="minorEastAsia" w:hAnsiTheme="minorEastAsia"/>
          <w:szCs w:val="21"/>
        </w:rPr>
        <w:t>③饭堂必须安装食品安全视频监控，符合明厨亮灶的规定，并接入到医院安全监控视频系统中。</w:t>
      </w:r>
    </w:p>
    <w:p>
      <w:pPr>
        <w:ind w:firstLine="420" w:firstLineChars="200"/>
        <w:rPr>
          <w:rFonts w:asciiTheme="minorEastAsia" w:hAnsiTheme="minorEastAsia"/>
          <w:szCs w:val="21"/>
        </w:rPr>
      </w:pPr>
      <w:r>
        <w:rPr>
          <w:rFonts w:hint="eastAsia" w:asciiTheme="minorEastAsia" w:hAnsiTheme="minorEastAsia"/>
          <w:szCs w:val="21"/>
        </w:rPr>
        <w:t>④乙方须合理安排改造施工流程，减少对饭堂服务的影响，并须在改造施工期间提供正常的院内餐饮保障服务。</w:t>
      </w:r>
    </w:p>
    <w:p>
      <w:pPr>
        <w:ind w:firstLine="420" w:firstLineChars="200"/>
        <w:rPr>
          <w:rFonts w:asciiTheme="minorEastAsia" w:hAnsiTheme="minorEastAsia"/>
          <w:szCs w:val="21"/>
        </w:rPr>
      </w:pPr>
      <w:r>
        <w:rPr>
          <w:rFonts w:hint="eastAsia" w:asciiTheme="minorEastAsia" w:hAnsiTheme="minorEastAsia"/>
          <w:szCs w:val="21"/>
        </w:rPr>
        <w:t>2）对现有设备进行维护和更新。</w:t>
      </w:r>
    </w:p>
    <w:p>
      <w:pPr>
        <w:ind w:firstLine="420" w:firstLineChars="200"/>
        <w:rPr>
          <w:rFonts w:asciiTheme="minorEastAsia" w:hAnsiTheme="minorEastAsia"/>
          <w:szCs w:val="21"/>
        </w:rPr>
      </w:pPr>
      <w:r>
        <w:rPr>
          <w:rFonts w:hint="eastAsia" w:asciiTheme="minorEastAsia" w:hAnsiTheme="minorEastAsia"/>
          <w:szCs w:val="21"/>
        </w:rPr>
        <w:t>3)广州市番禺区第七人民医院改造部分</w:t>
      </w:r>
    </w:p>
    <w:p>
      <w:pPr>
        <w:ind w:firstLine="420" w:firstLineChars="200"/>
        <w:rPr>
          <w:rFonts w:asciiTheme="minorEastAsia" w:hAnsiTheme="minorEastAsia"/>
          <w:szCs w:val="21"/>
        </w:rPr>
      </w:pPr>
      <w:r>
        <w:rPr>
          <w:rFonts w:hint="eastAsia" w:asciiTheme="minorEastAsia" w:hAnsiTheme="minorEastAsia"/>
          <w:szCs w:val="21"/>
        </w:rPr>
        <w:t>①优化饭堂厨房工作流程，根据流程改造和消防法规对厨房进行改造；更新须更新的设备（包括但不限于冷冻冷藏设备、炉灶等详见附件一）。</w:t>
      </w:r>
    </w:p>
    <w:p>
      <w:pPr>
        <w:ind w:firstLine="420" w:firstLineChars="200"/>
        <w:rPr>
          <w:rFonts w:asciiTheme="minorEastAsia" w:hAnsiTheme="minorEastAsia"/>
          <w:szCs w:val="21"/>
        </w:rPr>
      </w:pPr>
      <w:r>
        <w:rPr>
          <w:rFonts w:hint="eastAsia" w:asciiTheme="minorEastAsia" w:hAnsiTheme="minorEastAsia"/>
          <w:szCs w:val="21"/>
        </w:rPr>
        <w:t>②就餐区域环境提升。乙方需对就餐区域的空调、餐桌、餐椅进行更新，对天花和墙面进行翻新。</w:t>
      </w:r>
    </w:p>
    <w:p>
      <w:pPr>
        <w:ind w:firstLine="420" w:firstLineChars="200"/>
        <w:rPr>
          <w:rFonts w:asciiTheme="minorEastAsia" w:hAnsiTheme="minorEastAsia"/>
          <w:szCs w:val="21"/>
        </w:rPr>
      </w:pPr>
      <w:r>
        <w:rPr>
          <w:rFonts w:hint="eastAsia" w:asciiTheme="minorEastAsia" w:hAnsiTheme="minorEastAsia"/>
          <w:szCs w:val="21"/>
        </w:rPr>
        <w:t>招标文件中附件一为初步改造方案，还需深化设计，具体实施以经甲方最后审定签名确认为准。饭堂改造设计、预算清单、设备清单等相关方案必须经过甲方的审核确认后方可施工，且要通过甲方的验收方可投入使用。（实际投入金额以结算评审为准）</w:t>
      </w:r>
    </w:p>
    <w:p>
      <w:pPr>
        <w:ind w:firstLine="316" w:firstLineChars="150"/>
        <w:rPr>
          <w:rFonts w:asciiTheme="minorEastAsia" w:hAnsiTheme="minorEastAsia"/>
          <w:b/>
          <w:bCs/>
          <w:szCs w:val="21"/>
        </w:rPr>
      </w:pPr>
      <w:r>
        <w:rPr>
          <w:rFonts w:hint="eastAsia" w:asciiTheme="minorEastAsia" w:hAnsiTheme="minorEastAsia"/>
          <w:b/>
          <w:bCs/>
          <w:szCs w:val="21"/>
        </w:rPr>
        <w:t>（二）饭堂服务需求</w:t>
      </w:r>
    </w:p>
    <w:p>
      <w:pPr>
        <w:ind w:firstLine="315" w:firstLineChars="150"/>
        <w:rPr>
          <w:rFonts w:asciiTheme="minorEastAsia" w:hAnsiTheme="minorEastAsia"/>
          <w:szCs w:val="21"/>
        </w:rPr>
      </w:pPr>
      <w:r>
        <w:rPr>
          <w:rFonts w:hint="eastAsia" w:asciiTheme="minorEastAsia" w:hAnsiTheme="minorEastAsia"/>
          <w:szCs w:val="21"/>
        </w:rPr>
        <w:t>1、供餐时间 (甲方可根据季节等实际情况调整) ：</w:t>
      </w:r>
    </w:p>
    <w:p>
      <w:pPr>
        <w:ind w:firstLine="315" w:firstLineChars="150"/>
        <w:rPr>
          <w:rFonts w:asciiTheme="minorEastAsia" w:hAnsiTheme="minorEastAsia"/>
          <w:szCs w:val="21"/>
        </w:rPr>
      </w:pPr>
      <w:r>
        <w:rPr>
          <w:rFonts w:hint="eastAsia" w:asciiTheme="minorEastAsia" w:hAnsiTheme="minorEastAsia"/>
          <w:szCs w:val="21"/>
        </w:rPr>
        <w:t>早餐：06:30-9:00</w:t>
      </w:r>
    </w:p>
    <w:p>
      <w:pPr>
        <w:ind w:firstLine="315" w:firstLineChars="150"/>
        <w:rPr>
          <w:rFonts w:asciiTheme="minorEastAsia" w:hAnsiTheme="minorEastAsia"/>
          <w:szCs w:val="21"/>
        </w:rPr>
      </w:pPr>
      <w:r>
        <w:rPr>
          <w:rFonts w:hint="eastAsia" w:asciiTheme="minorEastAsia" w:hAnsiTheme="minorEastAsia"/>
          <w:szCs w:val="21"/>
        </w:rPr>
        <w:t>午餐：10:30-13:00</w:t>
      </w:r>
    </w:p>
    <w:p>
      <w:pPr>
        <w:ind w:firstLine="315" w:firstLineChars="150"/>
        <w:rPr>
          <w:rFonts w:asciiTheme="minorEastAsia" w:hAnsiTheme="minorEastAsia"/>
          <w:szCs w:val="21"/>
        </w:rPr>
      </w:pPr>
      <w:r>
        <w:rPr>
          <w:rFonts w:hint="eastAsia" w:asciiTheme="minorEastAsia" w:hAnsiTheme="minorEastAsia"/>
          <w:szCs w:val="21"/>
        </w:rPr>
        <w:t>晚餐：16:30-18:30</w:t>
      </w:r>
    </w:p>
    <w:p>
      <w:pPr>
        <w:ind w:firstLine="315" w:firstLineChars="150"/>
        <w:rPr>
          <w:rFonts w:asciiTheme="minorEastAsia" w:hAnsiTheme="minorEastAsia"/>
          <w:szCs w:val="21"/>
        </w:rPr>
      </w:pPr>
      <w:r>
        <w:rPr>
          <w:rFonts w:hint="eastAsia" w:asciiTheme="minorEastAsia" w:hAnsiTheme="minorEastAsia"/>
          <w:szCs w:val="21"/>
        </w:rPr>
        <w:t>根据甲方的实际需求，开设24 小时明档服务 (售卖粥粉面、水饺、云吞，西点、冷热饮品等以满足临时就餐需求) 。</w:t>
      </w:r>
    </w:p>
    <w:p>
      <w:pPr>
        <w:ind w:firstLine="315" w:firstLineChars="150"/>
        <w:rPr>
          <w:rFonts w:asciiTheme="minorEastAsia" w:hAnsiTheme="minorEastAsia"/>
          <w:szCs w:val="21"/>
        </w:rPr>
      </w:pPr>
      <w:r>
        <w:rPr>
          <w:rFonts w:hint="eastAsia" w:asciiTheme="minorEastAsia" w:hAnsiTheme="minorEastAsia"/>
          <w:szCs w:val="21"/>
        </w:rPr>
        <w:t>2、订餐服务要求：</w:t>
      </w:r>
    </w:p>
    <w:p>
      <w:pPr>
        <w:ind w:firstLine="315" w:firstLineChars="150"/>
        <w:rPr>
          <w:rFonts w:asciiTheme="minorEastAsia" w:hAnsiTheme="minorEastAsia"/>
          <w:szCs w:val="21"/>
        </w:rPr>
      </w:pPr>
      <w:r>
        <w:rPr>
          <w:rFonts w:hint="eastAsia" w:asciiTheme="minorEastAsia" w:hAnsiTheme="minorEastAsia"/>
          <w:szCs w:val="21"/>
        </w:rPr>
        <w:t>1）使用甲方的电子收付系统，提供全院线上订餐服务，内容包括 (但不限于) 送餐地点、送餐时间、饭菜品种选择、可以电子付款和充值、有电子满意度调查等功能，堂食点餐采用智能化结算方式 (如芯片识别和图像识别等) ，减少排队时间。</w:t>
      </w:r>
      <w:r>
        <w:rPr>
          <w:rFonts w:hint="eastAsia" w:ascii="宋体" w:hAnsi="宋体" w:cs="宋体"/>
          <w:szCs w:val="21"/>
        </w:rPr>
        <w:t>若甲方提供的电子订餐及收付系统未能满足实际使用需求，乙方须根据实际需求完善相关软、硬件设施的维保、升级和设备增购等。</w:t>
      </w:r>
    </w:p>
    <w:p>
      <w:pPr>
        <w:ind w:firstLine="315" w:firstLineChars="150"/>
        <w:rPr>
          <w:rFonts w:asciiTheme="minorEastAsia" w:hAnsiTheme="minorEastAsia"/>
          <w:szCs w:val="21"/>
        </w:rPr>
      </w:pPr>
      <w:r>
        <w:rPr>
          <w:rFonts w:hint="eastAsia" w:asciiTheme="minorEastAsia" w:hAnsiTheme="minorEastAsia"/>
          <w:szCs w:val="21"/>
        </w:rPr>
        <w:t>2）提供住院患者床旁订餐、电话订餐、线上订餐、送餐以及满足住院患者的其他餐饮服务。确保每天早上和下午派工作人员到病房问餐，落实到每一个床位，问餐员具备一定的营养膳食知识。</w:t>
      </w:r>
      <w:r>
        <w:rPr>
          <w:rFonts w:hint="eastAsia" w:ascii="宋体" w:hAnsi="宋体" w:cs="宋体"/>
          <w:szCs w:val="21"/>
        </w:rPr>
        <w:t>在甲方指定时间内完成各项订餐送餐服务。</w:t>
      </w:r>
    </w:p>
    <w:p>
      <w:pPr>
        <w:ind w:firstLine="315" w:firstLineChars="150"/>
        <w:rPr>
          <w:rFonts w:asciiTheme="minorEastAsia" w:hAnsiTheme="minorEastAsia"/>
          <w:szCs w:val="21"/>
        </w:rPr>
      </w:pPr>
      <w:r>
        <w:rPr>
          <w:rFonts w:hint="eastAsia" w:asciiTheme="minorEastAsia" w:hAnsiTheme="minorEastAsia"/>
          <w:szCs w:val="21"/>
        </w:rPr>
        <w:t>3）超过正常用膳时间的，饭堂应提供应急服务，提供预约订餐和送餐服务 (根据实际需要可提供 24 小时服务) ，为有需要的科室免费配置智能保温柜，让延时就餐的医务人员吃到热的饭菜。配送食品有保温措施，保证送至病房时温度不低于 40℃。</w:t>
      </w:r>
    </w:p>
    <w:p>
      <w:pPr>
        <w:ind w:firstLine="315" w:firstLineChars="150"/>
        <w:rPr>
          <w:rFonts w:asciiTheme="minorEastAsia" w:hAnsiTheme="minorEastAsia"/>
          <w:szCs w:val="21"/>
        </w:rPr>
      </w:pPr>
      <w:r>
        <w:rPr>
          <w:rFonts w:hint="eastAsia" w:asciiTheme="minorEastAsia" w:hAnsiTheme="minorEastAsia"/>
          <w:szCs w:val="21"/>
        </w:rPr>
        <w:t>3、乙方在项目运营期间必须保证提供早餐、午餐、晚餐、宵夜及应急供餐等餐饮服务。</w:t>
      </w:r>
    </w:p>
    <w:p>
      <w:pPr>
        <w:ind w:firstLine="315" w:firstLineChars="150"/>
        <w:rPr>
          <w:rFonts w:asciiTheme="minorEastAsia" w:hAnsiTheme="minorEastAsia"/>
          <w:szCs w:val="21"/>
        </w:rPr>
      </w:pPr>
      <w:r>
        <w:rPr>
          <w:rFonts w:asciiTheme="minorEastAsia" w:hAnsiTheme="minorEastAsia"/>
          <w:szCs w:val="21"/>
        </w:rPr>
        <w:t>4</w:t>
      </w:r>
      <w:r>
        <w:rPr>
          <w:rFonts w:hint="eastAsia" w:asciiTheme="minorEastAsia" w:hAnsiTheme="minorEastAsia"/>
          <w:szCs w:val="21"/>
        </w:rPr>
        <w:t>、各餐时段必须包括标准化早餐、宵夜（一粥或豆浆或牛奶加一粉或面和点心），售价不高于8元；标准化午、晚餐（一净肉（肉＞150g）、一含肉小炒（肉＞50g菜＞100g）、一青菜（＞150g）及一米饭（＞200g）），其中净肉及含肉小炒可选品种每样不少于3种，总体售价不高于13元。职工午餐提供免费老火例汤及佐餐小料供应。乙方须对上述定价及服务出具承诺函。</w:t>
      </w:r>
    </w:p>
    <w:p>
      <w:pPr>
        <w:ind w:firstLine="315" w:firstLineChars="150"/>
        <w:rPr>
          <w:rFonts w:asciiTheme="minorEastAsia" w:hAnsiTheme="minorEastAsia"/>
          <w:szCs w:val="21"/>
        </w:rPr>
      </w:pPr>
      <w:r>
        <w:rPr>
          <w:rFonts w:hint="eastAsia" w:asciiTheme="minorEastAsia" w:hAnsiTheme="minorEastAsia"/>
          <w:szCs w:val="21"/>
        </w:rPr>
        <w:t>5、乙方制定的菜单须经甲方审核同意，根据甲方实际要求补充或修改。饭菜样式要经常更新，每月推出3个或以上新菜品。每周提前公示菜单，滚动推出新菜品，确保满足职工和住院患者的饮食需要。</w:t>
      </w:r>
    </w:p>
    <w:p>
      <w:pPr>
        <w:ind w:firstLine="315" w:firstLineChars="150"/>
        <w:rPr>
          <w:rFonts w:asciiTheme="minorEastAsia" w:hAnsiTheme="minorEastAsia"/>
          <w:szCs w:val="21"/>
        </w:rPr>
      </w:pPr>
      <w:r>
        <w:rPr>
          <w:rFonts w:asciiTheme="minorEastAsia" w:hAnsiTheme="minorEastAsia"/>
          <w:szCs w:val="21"/>
        </w:rPr>
        <w:t>6</w:t>
      </w:r>
      <w:r>
        <w:rPr>
          <w:rFonts w:hint="eastAsia" w:asciiTheme="minorEastAsia" w:hAnsiTheme="minorEastAsia"/>
          <w:szCs w:val="21"/>
        </w:rPr>
        <w:t>、乙方必须因应医院内人群的用餐特殊性，按照甲方要求在医院营养医师的指导下，根据营养处方向医院指定人群提供个性化营养供、送餐服务，不得以任何理由加收其他费用。其中营养膳食要求：</w:t>
      </w:r>
    </w:p>
    <w:p>
      <w:pPr>
        <w:numPr>
          <w:ilvl w:val="0"/>
          <w:numId w:val="3"/>
        </w:numPr>
        <w:spacing w:line="240" w:lineRule="auto"/>
        <w:ind w:firstLine="210" w:firstLineChars="100"/>
        <w:rPr>
          <w:rFonts w:asciiTheme="minorEastAsia" w:hAnsiTheme="minorEastAsia"/>
          <w:szCs w:val="21"/>
        </w:rPr>
      </w:pPr>
      <w:r>
        <w:rPr>
          <w:rFonts w:hint="eastAsia" w:asciiTheme="minorEastAsia" w:hAnsiTheme="minorEastAsia"/>
          <w:szCs w:val="21"/>
        </w:rPr>
        <w:t>在甲方营养科的指导和监督下，根据《临床营养技术操作规范》等有关法规进行治疗饮食的制作，设专职膳食营养管理员，负责将甲方要求及时下达相关岗位人员和协助进行质量控制。</w:t>
      </w:r>
    </w:p>
    <w:p>
      <w:pPr>
        <w:numPr>
          <w:ilvl w:val="0"/>
          <w:numId w:val="3"/>
        </w:numPr>
        <w:spacing w:line="240" w:lineRule="auto"/>
        <w:ind w:firstLine="210" w:firstLineChars="100"/>
        <w:rPr>
          <w:rFonts w:asciiTheme="minorEastAsia" w:hAnsiTheme="minorEastAsia"/>
          <w:szCs w:val="21"/>
        </w:rPr>
      </w:pPr>
      <w:r>
        <w:rPr>
          <w:rFonts w:hint="eastAsia" w:asciiTheme="minorEastAsia" w:hAnsiTheme="minorEastAsia"/>
          <w:szCs w:val="21"/>
        </w:rPr>
        <w:t>需设有特殊治疗膳食灶并配备专人烹调，成立治疗膳食小组，营养科定期对治疗膳食小组及相关人员进行专业知识培训。治疗膳食小组负责特殊治疗膳食 (包括糖尿病膳食、低蛋白膳食、流质膳食等) 的制备，按饮食配方菜单准确称量、接受监督指导，根据医院营养师和临床意见及时改进工作。</w:t>
      </w:r>
    </w:p>
    <w:p>
      <w:pPr>
        <w:ind w:firstLine="315" w:firstLineChars="150"/>
        <w:rPr>
          <w:rFonts w:asciiTheme="minorEastAsia" w:hAnsiTheme="minorEastAsia"/>
          <w:szCs w:val="21"/>
        </w:rPr>
      </w:pPr>
      <w:r>
        <w:rPr>
          <w:rFonts w:hint="eastAsia" w:asciiTheme="minorEastAsia" w:hAnsiTheme="minorEastAsia"/>
          <w:szCs w:val="21"/>
        </w:rPr>
        <w:t>3）配餐员根据住院患者饮食医嘱，提醒和指引住院患者预订治疗膳食，同时负责营养餐的配送。</w:t>
      </w:r>
    </w:p>
    <w:p>
      <w:pPr>
        <w:ind w:firstLine="315" w:firstLineChars="150"/>
        <w:rPr>
          <w:rFonts w:asciiTheme="minorEastAsia" w:hAnsiTheme="minorEastAsia"/>
          <w:szCs w:val="21"/>
        </w:rPr>
      </w:pPr>
      <w:r>
        <w:rPr>
          <w:rFonts w:hint="eastAsia" w:asciiTheme="minorEastAsia" w:hAnsiTheme="minorEastAsia"/>
          <w:szCs w:val="21"/>
        </w:rPr>
        <w:t>4）住院病人普通饮食：结合三级综合医院对住院病人就餐考核的相关标准，乙方负责普通病人饮食食谱编制，营养科负责食谱审核。以确保病人饮食合理搭配，科学用餐。乙方对此不得擅自更改，如遇特殊情况需要修订须经甲方许可。</w:t>
      </w:r>
    </w:p>
    <w:p>
      <w:pPr>
        <w:ind w:firstLine="315" w:firstLineChars="150"/>
        <w:rPr>
          <w:rFonts w:asciiTheme="minorEastAsia" w:hAnsiTheme="minorEastAsia"/>
          <w:szCs w:val="21"/>
        </w:rPr>
      </w:pPr>
      <w:r>
        <w:rPr>
          <w:rFonts w:hint="eastAsia" w:asciiTheme="minorEastAsia" w:hAnsiTheme="minorEastAsia"/>
          <w:szCs w:val="21"/>
        </w:rPr>
        <w:t>5）住院病人治疗饮食：治疗膳食是住院病人饮食的核心内容，它作为某些疾病诊断及治疗的重要辅助手段，贯穿于整个临床医疗过程的始终。乙方须严格执行甲方关于特殊治疗膳食管理要求制餐、配餐。</w:t>
      </w:r>
    </w:p>
    <w:p>
      <w:pPr>
        <w:ind w:firstLine="315" w:firstLineChars="150"/>
        <w:rPr>
          <w:rFonts w:asciiTheme="minorEastAsia" w:hAnsiTheme="minorEastAsia"/>
          <w:szCs w:val="21"/>
        </w:rPr>
      </w:pPr>
      <w:r>
        <w:rPr>
          <w:rFonts w:asciiTheme="minorEastAsia" w:hAnsiTheme="minorEastAsia"/>
          <w:szCs w:val="21"/>
        </w:rPr>
        <w:t>7</w:t>
      </w:r>
      <w:r>
        <w:rPr>
          <w:rFonts w:hint="eastAsia" w:asciiTheme="minorEastAsia" w:hAnsiTheme="minorEastAsia"/>
          <w:szCs w:val="21"/>
        </w:rPr>
        <w:t>、乙方在保证医院特殊用餐人群用餐需求、标准化供餐服务以外，可以向院内人群提供特色档口餐饮服务，肉类、蔬果及副食品销售等增值服务，但必须做到优价优质，整体服务及质量不得低于社会上品牌餐饮企业和零售超市的平均服务水平，价格不得高于社会零售平均价格。（具体对照番禺区内品牌餐饮企业、酒店餐饮服务价格及华润万家、大润发等大型超市价格）。</w:t>
      </w:r>
    </w:p>
    <w:p>
      <w:pPr>
        <w:ind w:firstLine="315" w:firstLineChars="150"/>
        <w:rPr>
          <w:rFonts w:asciiTheme="minorEastAsia" w:hAnsiTheme="minorEastAsia"/>
          <w:szCs w:val="21"/>
        </w:rPr>
      </w:pPr>
      <w:r>
        <w:rPr>
          <w:rFonts w:asciiTheme="minorEastAsia" w:hAnsiTheme="minorEastAsia"/>
          <w:szCs w:val="21"/>
        </w:rPr>
        <w:t>8</w:t>
      </w:r>
      <w:r>
        <w:rPr>
          <w:rFonts w:hint="eastAsia" w:asciiTheme="minorEastAsia" w:hAnsiTheme="minorEastAsia"/>
          <w:szCs w:val="21"/>
        </w:rPr>
        <w:t>、乙方可以在指定地点为甲方员工和病患提供符合卫生要求的临时流动餐车服务，但须服从甲方管理，对甲方提出的更改地点或暂停服务等要求须无条件服从。</w:t>
      </w:r>
    </w:p>
    <w:p>
      <w:pPr>
        <w:ind w:firstLine="315" w:firstLineChars="150"/>
        <w:rPr>
          <w:rFonts w:asciiTheme="minorEastAsia" w:hAnsiTheme="minorEastAsia"/>
          <w:szCs w:val="21"/>
        </w:rPr>
      </w:pPr>
      <w:r>
        <w:rPr>
          <w:rFonts w:asciiTheme="minorEastAsia" w:hAnsiTheme="minorEastAsia"/>
          <w:szCs w:val="21"/>
        </w:rPr>
        <w:t>9</w:t>
      </w:r>
      <w:r>
        <w:rPr>
          <w:rFonts w:hint="eastAsia" w:asciiTheme="minorEastAsia" w:hAnsiTheme="minorEastAsia"/>
          <w:szCs w:val="21"/>
        </w:rPr>
        <w:t>、乙方应该具备应对饭堂突发事件的能力（如：医院饭堂整体封闭、水电断供、人员罢工、疫情防控医院封闭管理等），并提供应急预案。</w:t>
      </w:r>
    </w:p>
    <w:p>
      <w:pPr>
        <w:ind w:firstLine="315" w:firstLineChars="150"/>
        <w:rPr>
          <w:rFonts w:asciiTheme="minorEastAsia" w:hAnsiTheme="minorEastAsia"/>
          <w:szCs w:val="21"/>
        </w:rPr>
      </w:pPr>
      <w:r>
        <w:rPr>
          <w:rFonts w:asciiTheme="minorEastAsia" w:hAnsiTheme="minorEastAsia"/>
          <w:szCs w:val="21"/>
        </w:rPr>
        <w:t>10</w:t>
      </w:r>
      <w:r>
        <w:rPr>
          <w:rFonts w:hint="eastAsia" w:asciiTheme="minorEastAsia" w:hAnsiTheme="minorEastAsia"/>
          <w:szCs w:val="21"/>
        </w:rPr>
        <w:t>、乙方需配合做好与原乙方的交接工作，对符合用工要求并愿意继续在甲方饭堂工作的原有员工优先聘用，并提供交接方案。</w:t>
      </w:r>
    </w:p>
    <w:p>
      <w:pPr>
        <w:ind w:firstLine="315" w:firstLineChars="150"/>
        <w:rPr>
          <w:rFonts w:asciiTheme="minorEastAsia" w:hAnsiTheme="minorEastAsia"/>
          <w:szCs w:val="21"/>
        </w:rPr>
      </w:pPr>
      <w:r>
        <w:rPr>
          <w:rFonts w:asciiTheme="minorEastAsia" w:hAnsiTheme="minorEastAsia"/>
          <w:szCs w:val="21"/>
        </w:rPr>
        <w:t>11</w:t>
      </w:r>
      <w:r>
        <w:rPr>
          <w:rFonts w:hint="eastAsia" w:asciiTheme="minorEastAsia" w:hAnsiTheme="minorEastAsia"/>
          <w:szCs w:val="21"/>
        </w:rPr>
        <w:t>、乙方派驻所有工作人员须服从甲方指挥及协调管理，并配合医院做好各项应急供餐和上级交办餐饮相关任务。</w:t>
      </w:r>
    </w:p>
    <w:p>
      <w:pPr>
        <w:ind w:firstLine="315" w:firstLineChars="150"/>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2</w:t>
      </w:r>
      <w:r>
        <w:rPr>
          <w:rFonts w:hint="eastAsia" w:asciiTheme="minorEastAsia" w:hAnsiTheme="minorEastAsia"/>
          <w:szCs w:val="21"/>
        </w:rPr>
        <w:t>、乙方需严格执行乙方的食品安全、消防安全、疫情防控等各项医院管理制度及工作要求，如违反上述制度或要求经甲方书面警告仍拒不整改或整改不到位的，甲方有权终止合同，且对甲方造成财产或声誉损害的，乙方应承担赔偿责任。</w:t>
      </w:r>
    </w:p>
    <w:p>
      <w:pPr>
        <w:ind w:firstLine="315" w:firstLineChars="150"/>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3</w:t>
      </w:r>
      <w:r>
        <w:rPr>
          <w:rFonts w:hint="eastAsia" w:asciiTheme="minorEastAsia" w:hAnsiTheme="minorEastAsia"/>
          <w:szCs w:val="21"/>
        </w:rPr>
        <w:t>、乙方需配合医院按时完成政府采购脱贫地区农副产品等工作。</w:t>
      </w:r>
    </w:p>
    <w:p>
      <w:pPr>
        <w:ind w:firstLine="316" w:firstLineChars="150"/>
        <w:rPr>
          <w:rFonts w:asciiTheme="minorEastAsia" w:hAnsiTheme="minorEastAsia"/>
          <w:b/>
          <w:bCs/>
          <w:szCs w:val="21"/>
        </w:rPr>
      </w:pPr>
      <w:r>
        <w:rPr>
          <w:rFonts w:hint="eastAsia" w:asciiTheme="minorEastAsia" w:hAnsiTheme="minorEastAsia"/>
          <w:b/>
          <w:bCs/>
          <w:szCs w:val="21"/>
        </w:rPr>
        <w:t>（三）饭堂运营管理要求</w:t>
      </w:r>
    </w:p>
    <w:p>
      <w:pPr>
        <w:ind w:firstLine="315" w:firstLineChars="150"/>
        <w:rPr>
          <w:rFonts w:asciiTheme="minorEastAsia" w:hAnsiTheme="minorEastAsia"/>
          <w:szCs w:val="21"/>
        </w:rPr>
      </w:pPr>
      <w:r>
        <w:rPr>
          <w:rFonts w:hint="eastAsia" w:asciiTheme="minorEastAsia" w:hAnsiTheme="minorEastAsia"/>
          <w:szCs w:val="21"/>
        </w:rPr>
        <w:t>本项目采用全包干的方式</w:t>
      </w:r>
      <w:r>
        <w:rPr>
          <w:rFonts w:hint="eastAsia" w:asciiTheme="minorEastAsia" w:hAnsiTheme="minorEastAsia" w:eastAsiaTheme="minorEastAsia"/>
          <w:szCs w:val="21"/>
        </w:rPr>
        <w:t>运营服务</w:t>
      </w:r>
      <w:r>
        <w:rPr>
          <w:rFonts w:hint="eastAsia" w:asciiTheme="minorEastAsia" w:hAnsiTheme="minorEastAsia"/>
          <w:szCs w:val="21"/>
        </w:rPr>
        <w:t>，由乙方负责招标文件对乙方要求的一切事宜及责任，自主经营、自负盈亏。饭堂员工的工资福利、保险等和经营过程中一切费用 (包括但不限于食材 &lt;包括肉、米、油、盐、酱料、蔬菜等&gt;、水、电、</w:t>
      </w:r>
      <w:r>
        <w:rPr>
          <w:rFonts w:hint="eastAsia" w:ascii="宋体" w:hAnsi="宋体" w:cs="宋体"/>
          <w:szCs w:val="21"/>
        </w:rPr>
        <w:t>空调、照明灯、</w:t>
      </w:r>
      <w:r>
        <w:rPr>
          <w:rFonts w:hint="eastAsia" w:asciiTheme="minorEastAsia" w:hAnsiTheme="minorEastAsia"/>
          <w:szCs w:val="21"/>
        </w:rPr>
        <w:t>燃气、消防、垃圾清运、油烟清洗、设备检测维护等) 由乙方负责。乙方因经营管理不当发生食物安全问题或中毒、因人为或其他因素引发的事故及所造成的人员伤亡、财产损失等，其经济责任、法律责任全部由乙方承担，实行一票否决，甲方有权终止合同，且对甲方造成财产或声誉损害的，乙方应承担赔偿责任。乙方按《劳动合同法》相关规定，依法用工，负责办理甲方医院饭堂所有工作人员的劳动用工手续、计划生育管理及工伤意外伤害事故、居住证等事宜，负责员工的招聘、任免、薪资、住宿、福利以及工伤保险、医疗保险、人身意外保险等，且符合国家法律法规规定，乙方员工在院内范围发生用工纠纷、疾病、出现意外伤害及意外事故责任由乙方负责，与甲方无关。乙方的所有员工违反国家计划生育政策的一切后果由乙方承担。</w:t>
      </w:r>
    </w:p>
    <w:p>
      <w:pPr>
        <w:ind w:firstLine="315" w:firstLineChars="150"/>
        <w:rPr>
          <w:rFonts w:asciiTheme="minorEastAsia" w:hAnsiTheme="minorEastAsia"/>
          <w:szCs w:val="21"/>
        </w:rPr>
      </w:pPr>
      <w:r>
        <w:rPr>
          <w:rFonts w:hint="eastAsia" w:asciiTheme="minorEastAsia" w:hAnsiTheme="minorEastAsia"/>
          <w:szCs w:val="21"/>
        </w:rPr>
        <w:t>1、根据《食品安全法》及GB31654-2021食品安全国家标准《餐饮服务通用卫生规范》等国家法律法规及地方规章要求和甲方实际，建立并不断完善原料控制、餐用具清洗消毒、餐饮服务过程控制、从业人员健康管理、从业人员培训、食品安全自查、进货查验和记录、食品留样、场所及设施设备清洗消毒和维修保养、食品安全信息追溯、消费者投诉处理等保证食品安全的规章制度，并制定食品安全突发事件应急处置方案。加强恒常监管，确保食品采购、加工、销售及收集清运各环节符合食品安全管理相关规定。根据《餐饮服务通用卫生规范》规定，甲方饭堂属于医疗机构食堂，乙方应成立饭堂专项管理架构，设立驻点服务团队，项目负责人要求大专以上学历，从事相关行业3年以上，具备相似项目的管理经验，同时须配备国家认可资格的营养师、厨师、专职高级食品安全管理人员等专业人员。</w:t>
      </w:r>
    </w:p>
    <w:p>
      <w:pPr>
        <w:ind w:firstLine="315" w:firstLineChars="150"/>
        <w:rPr>
          <w:rFonts w:asciiTheme="minorEastAsia" w:hAnsiTheme="minorEastAsia"/>
          <w:szCs w:val="21"/>
        </w:rPr>
      </w:pPr>
      <w:r>
        <w:rPr>
          <w:rFonts w:hint="eastAsia" w:asciiTheme="minorEastAsia" w:hAnsiTheme="minorEastAsia"/>
          <w:szCs w:val="21"/>
        </w:rPr>
        <w:t>2、甲方按现状给乙方经营。乙方承诺对现状的设施设备进行有效的维护，对不符合使用安全要求的进行有效维修，必要时应更新相关设施设备。新增的设施设备由乙方投入。在饭堂范围内的设施设备运行而造成安全事故的，由乙方负全部责任。</w:t>
      </w:r>
    </w:p>
    <w:p>
      <w:pPr>
        <w:ind w:firstLine="315" w:firstLineChars="150"/>
        <w:rPr>
          <w:rFonts w:asciiTheme="minorEastAsia" w:hAnsiTheme="minorEastAsia"/>
          <w:szCs w:val="21"/>
        </w:rPr>
      </w:pPr>
      <w:r>
        <w:rPr>
          <w:rFonts w:hint="eastAsia" w:asciiTheme="minorEastAsia" w:hAnsiTheme="minorEastAsia"/>
          <w:szCs w:val="21"/>
        </w:rPr>
        <w:t>3、饭堂乙方是饭堂消防安全第一责任人。按照《消防法》等消防相关法律法规及医院消防管理规定，做好甲方饭堂内部各项消防安全管理工作，设定消防安全管理员，确保相关消防设施设备的有效。每年对全员进行消防安全知识培训、开展消防演练，做好饭堂区域内餐饮消防设施设备的建设投入与维保（包括原有的和乙方新增的消防设施、设备），操作区燃气报警装置更新及维护管理、燃气设施设备检测及维护管理，确保医院饭堂的消防安全。甲方发现乙方在饭堂管理中存在安全隐患，将发出整改通知书。乙方对安全隐患整改不到位超过三次的，或发生人员伤亡或过火面积超过10平方米或达到安全事故级别，甲方有权单方面</w:t>
      </w:r>
      <w:r>
        <w:rPr>
          <w:rFonts w:hint="eastAsia" w:asciiTheme="minorEastAsia" w:hAnsiTheme="minorEastAsia" w:eastAsiaTheme="minorEastAsia"/>
          <w:szCs w:val="21"/>
        </w:rPr>
        <w:t>终止</w:t>
      </w:r>
      <w:r>
        <w:rPr>
          <w:rFonts w:hint="eastAsia" w:asciiTheme="minorEastAsia" w:hAnsiTheme="minorEastAsia"/>
          <w:szCs w:val="21"/>
        </w:rPr>
        <w:t>合同，并由乙方承担此产生的一切损害赔偿。乙方所有派驻人员须经过公安部门筛查无犯罪或不良行为记录，符合《食品从业人员健康检查的管理办法》（粤食药监规〔2017〕2号）及其他食品安全及医院内感染控制相关管理要求才能录用上岗，并遵守国家、医院的相关规章制度和管理规定，不得从事违法犯罪活动及违反医院管理要求。甲方对乙方员工工作质量有监督和考核的权利，甲方有权要求乙方把不符合甲方要求的相关人员调离甲方饭堂运营项目。</w:t>
      </w:r>
    </w:p>
    <w:p>
      <w:pPr>
        <w:ind w:firstLine="315" w:firstLineChars="150"/>
        <w:rPr>
          <w:rFonts w:asciiTheme="minorEastAsia" w:hAnsiTheme="minorEastAsia"/>
          <w:szCs w:val="21"/>
        </w:rPr>
      </w:pPr>
      <w:r>
        <w:rPr>
          <w:rFonts w:hint="eastAsia" w:asciiTheme="minorEastAsia" w:hAnsiTheme="minorEastAsia"/>
          <w:szCs w:val="21"/>
        </w:rPr>
        <w:t>4、乙方为甲方饭堂食品安全疫情防控第一责任人，严格执行上级相关防控文件要求，不得在甲方饭堂采购、使用或存储进口生鲜、冷冻畜禽肉类、水产品及其制品，采用本地食材；不直接食用各类生冷海鲜（如生鱼片、生虾等）。所有食物都要彻底清洗干净，经过高温煮熟透。加强各类食材从采购源头、运输环节等，要严格遵守操作规程，加强检验检疫，实行链条闭环管理，完善溯源机制。</w:t>
      </w:r>
    </w:p>
    <w:p>
      <w:pPr>
        <w:ind w:firstLine="315" w:firstLineChars="150"/>
        <w:rPr>
          <w:rFonts w:asciiTheme="minorEastAsia" w:hAnsiTheme="minorEastAsia" w:eastAsiaTheme="minorEastAsia"/>
          <w:szCs w:val="21"/>
        </w:rPr>
      </w:pPr>
      <w:r>
        <w:rPr>
          <w:rFonts w:hint="eastAsia" w:asciiTheme="minorEastAsia" w:hAnsiTheme="minorEastAsia"/>
          <w:szCs w:val="21"/>
        </w:rPr>
        <w:t>5、</w:t>
      </w:r>
      <w:r>
        <w:rPr>
          <w:rFonts w:hint="eastAsia" w:asciiTheme="minorEastAsia" w:hAnsiTheme="minorEastAsia" w:eastAsiaTheme="minorEastAsia"/>
          <w:szCs w:val="21"/>
        </w:rPr>
        <w:t>乙方需在中标后为本项目购买食品安全类责任险，提供食品安全保障；保险期 年，单次事故赔偿限额 万元以上。</w:t>
      </w:r>
    </w:p>
    <w:p>
      <w:pPr>
        <w:ind w:firstLine="315" w:firstLineChars="150"/>
        <w:rPr>
          <w:rFonts w:asciiTheme="minorEastAsia" w:hAnsiTheme="minorEastAsia"/>
          <w:szCs w:val="21"/>
        </w:rPr>
      </w:pPr>
      <w:r>
        <w:rPr>
          <w:rFonts w:asciiTheme="minorEastAsia" w:hAnsiTheme="minorEastAsia"/>
          <w:szCs w:val="21"/>
        </w:rPr>
        <w:t>6</w:t>
      </w:r>
      <w:r>
        <w:rPr>
          <w:rFonts w:hint="eastAsia" w:asciiTheme="minorEastAsia" w:hAnsiTheme="minorEastAsia"/>
          <w:szCs w:val="21"/>
        </w:rPr>
        <w:t>、根据《食品安全法》及GB31654-2021食品安全国家标准《餐饮服务通用卫生规范》等国家法律法规及地方规章要求，乙方须确保各类原料采购符合国家相关规定，并结合甲方就餐人群特殊性，对主要原材料（米、油、蔬果、肉类及相关物料）向有营业或生产资质供货商采购，建立固定的供货渠道，与固定供货者签订供货协议，做好采购索证索票、进货查验和采购记录。按甲方要求提交全部供货商清单及相应产品合格证明文件与甲方备案，并配合甲方进行溯源检查。乙方在经营过程中所有的食品采取统一采购方式，乙方采购的主副食品应符合国家规定的生产标识、产品质检合格证书、食品生产许可证、检测报告（含重金属检测项目）等。甲方饭堂食用的蔬菜、瓜果、肉类等，必须在具有检测条件的生产基地或市场购买。具体原材料质量要求如下：</w:t>
      </w:r>
    </w:p>
    <w:p>
      <w:pPr>
        <w:ind w:firstLine="315" w:firstLineChars="150"/>
        <w:rPr>
          <w:rFonts w:asciiTheme="minorEastAsia" w:hAnsiTheme="minorEastAsia"/>
          <w:szCs w:val="21"/>
        </w:rPr>
      </w:pPr>
      <w:r>
        <w:rPr>
          <w:rFonts w:hint="eastAsia" w:asciiTheme="minorEastAsia" w:hAnsiTheme="minorEastAsia"/>
          <w:szCs w:val="21"/>
        </w:rPr>
        <w:t>1）禽类要求</w:t>
      </w:r>
    </w:p>
    <w:p>
      <w:pPr>
        <w:ind w:firstLine="315" w:firstLineChars="150"/>
        <w:rPr>
          <w:rFonts w:asciiTheme="minorEastAsia" w:hAnsiTheme="minorEastAsia"/>
          <w:szCs w:val="21"/>
        </w:rPr>
      </w:pPr>
      <w:r>
        <w:rPr>
          <w:rFonts w:hint="eastAsia" w:asciiTheme="minorEastAsia" w:hAnsiTheme="minorEastAsia"/>
          <w:szCs w:val="21"/>
        </w:rPr>
        <w:t>新鲜光禽：光禽是指经宰杀去毛以后的鸡、鸭、鹅等禽类，质量好坏，是否新鲜，主要根据以下几方面来判别：</w:t>
      </w:r>
    </w:p>
    <w:p>
      <w:pPr>
        <w:ind w:firstLine="315" w:firstLineChars="150"/>
        <w:rPr>
          <w:rFonts w:asciiTheme="minorEastAsia" w:hAnsiTheme="minorEastAsia"/>
          <w:szCs w:val="21"/>
        </w:rPr>
      </w:pPr>
      <w:r>
        <w:rPr>
          <w:rFonts w:hint="eastAsia" w:asciiTheme="minorEastAsia" w:hAnsiTheme="minorEastAsia"/>
          <w:szCs w:val="21"/>
        </w:rPr>
        <w:t>（1）喙有光泽、干燥、无粘液；</w:t>
      </w:r>
    </w:p>
    <w:p>
      <w:pPr>
        <w:ind w:firstLine="315" w:firstLineChars="150"/>
        <w:rPr>
          <w:rFonts w:asciiTheme="minorEastAsia" w:hAnsiTheme="minorEastAsia"/>
          <w:szCs w:val="21"/>
        </w:rPr>
      </w:pPr>
      <w:r>
        <w:rPr>
          <w:rFonts w:hint="eastAsia" w:asciiTheme="minorEastAsia" w:hAnsiTheme="minorEastAsia"/>
          <w:szCs w:val="21"/>
        </w:rPr>
        <w:t>（2）口腔：新鲜的光禽口腔粘膜呈淡玫瑰色，有光泽、洁净、无异味；</w:t>
      </w:r>
    </w:p>
    <w:p>
      <w:pPr>
        <w:ind w:firstLine="315" w:firstLineChars="150"/>
        <w:rPr>
          <w:rFonts w:asciiTheme="minorEastAsia" w:hAnsiTheme="minorEastAsia"/>
          <w:szCs w:val="21"/>
        </w:rPr>
      </w:pPr>
      <w:r>
        <w:rPr>
          <w:rFonts w:hint="eastAsia" w:asciiTheme="minorEastAsia" w:hAnsiTheme="minorEastAsia"/>
          <w:szCs w:val="21"/>
        </w:rPr>
        <w:t>（3）新鲜的光禽眼睛明亮，充满整个眼窝；</w:t>
      </w:r>
    </w:p>
    <w:p>
      <w:pPr>
        <w:ind w:firstLine="315" w:firstLineChars="150"/>
        <w:rPr>
          <w:rFonts w:asciiTheme="minorEastAsia" w:hAnsiTheme="minorEastAsia"/>
          <w:szCs w:val="21"/>
        </w:rPr>
      </w:pPr>
      <w:r>
        <w:rPr>
          <w:rFonts w:hint="eastAsia" w:asciiTheme="minorEastAsia" w:hAnsiTheme="minorEastAsia"/>
          <w:szCs w:val="21"/>
        </w:rPr>
        <w:t>（4）皮肤：新鲜的光禽皮肤上毛孔隆起，表面干燥而紧缩，呈乳白色或淡黄色，稍带微红，无异味；</w:t>
      </w:r>
    </w:p>
    <w:p>
      <w:pPr>
        <w:ind w:firstLine="315" w:firstLineChars="150"/>
        <w:rPr>
          <w:rFonts w:asciiTheme="minorEastAsia" w:hAnsiTheme="minorEastAsia"/>
          <w:szCs w:val="21"/>
        </w:rPr>
      </w:pPr>
      <w:r>
        <w:rPr>
          <w:rFonts w:hint="eastAsia" w:asciiTheme="minorEastAsia" w:hAnsiTheme="minorEastAsia"/>
          <w:szCs w:val="21"/>
        </w:rPr>
        <w:t>（5）脂肪：新鲜的光禽脂肪呈淡黄色或黄色，有光泽，无异味；</w:t>
      </w:r>
    </w:p>
    <w:p>
      <w:pPr>
        <w:ind w:firstLine="315" w:firstLineChars="150"/>
        <w:rPr>
          <w:rFonts w:asciiTheme="minorEastAsia" w:hAnsiTheme="minorEastAsia"/>
          <w:szCs w:val="21"/>
        </w:rPr>
      </w:pPr>
      <w:r>
        <w:rPr>
          <w:rFonts w:hint="eastAsia" w:asciiTheme="minorEastAsia" w:hAnsiTheme="minorEastAsia"/>
          <w:szCs w:val="21"/>
        </w:rPr>
        <w:t>肌肉：新鲜光禽肌肉结实，有弹性，有光泽，颈、腿部肌肉呈玫瑰红色。变质的光禽肌肉松驰，湿润发粘，色变暗红，有明显腐败气味；</w:t>
      </w:r>
    </w:p>
    <w:p>
      <w:pPr>
        <w:ind w:firstLine="315" w:firstLineChars="150"/>
        <w:rPr>
          <w:rFonts w:asciiTheme="minorEastAsia" w:hAnsiTheme="minorEastAsia"/>
          <w:szCs w:val="21"/>
        </w:rPr>
      </w:pPr>
      <w:r>
        <w:rPr>
          <w:rFonts w:hint="eastAsia" w:asciiTheme="minorEastAsia" w:hAnsiTheme="minorEastAsia"/>
          <w:szCs w:val="21"/>
        </w:rPr>
        <w:t>2）活水产类要求：鱼体健康，体态匀称，游动活泼，体色鲜明，体表光滑，眼睛亮丽，鳞片鳍条完好。无添加孔雀石绿、无汽油味残留。</w:t>
      </w:r>
    </w:p>
    <w:p>
      <w:pPr>
        <w:ind w:firstLine="315" w:firstLineChars="150"/>
        <w:rPr>
          <w:rFonts w:asciiTheme="minorEastAsia" w:hAnsiTheme="minorEastAsia"/>
          <w:szCs w:val="21"/>
        </w:rPr>
      </w:pPr>
      <w:r>
        <w:rPr>
          <w:rFonts w:hint="eastAsia" w:asciiTheme="minorEastAsia" w:hAnsiTheme="minorEastAsia"/>
          <w:szCs w:val="21"/>
        </w:rPr>
        <w:t>3）肉类要求：</w:t>
      </w:r>
    </w:p>
    <w:p>
      <w:pPr>
        <w:ind w:firstLine="315" w:firstLineChars="150"/>
        <w:rPr>
          <w:rFonts w:asciiTheme="minorEastAsia" w:hAnsiTheme="minorEastAsia"/>
          <w:szCs w:val="21"/>
        </w:rPr>
      </w:pPr>
      <w:r>
        <w:rPr>
          <w:rFonts w:hint="eastAsia" w:asciiTheme="minorEastAsia" w:hAnsiTheme="minorEastAsia"/>
          <w:szCs w:val="21"/>
        </w:rPr>
        <w:t>（1）每批鲜猪肉、猪骨可以是广州市及周边城市政府指定的肉联厂发出的放心肉并提供放心肉证，并注明保鲜期。</w:t>
      </w:r>
    </w:p>
    <w:p>
      <w:pPr>
        <w:ind w:firstLine="315" w:firstLineChars="150"/>
        <w:rPr>
          <w:rFonts w:asciiTheme="minorEastAsia" w:hAnsiTheme="minorEastAsia"/>
          <w:szCs w:val="21"/>
        </w:rPr>
      </w:pPr>
      <w:r>
        <w:rPr>
          <w:rFonts w:hint="eastAsia" w:asciiTheme="minorEastAsia" w:hAnsiTheme="minorEastAsia"/>
          <w:szCs w:val="21"/>
        </w:rPr>
        <w:t xml:space="preserve">（2）所供货物应保持较好的外观和质量等级，符合国家食品部门的标准，鲜肉确保每日新鲜、保证无异味、无霉烂变质，确保肉类无残留淋巴等不宜食用的组织，肉类保证来源于正规肉联厂，供货时须提交肉联厂的验收单及当批次有效的动物检疫合格证、肉品品质检验合格证明复印件（供货时原件备查）。每次供货时须提供分割肉销售凭据、采购货品的检验报告及干货类的送货单上注明保质日期。 </w:t>
      </w:r>
    </w:p>
    <w:p>
      <w:pPr>
        <w:ind w:firstLine="315" w:firstLineChars="150"/>
        <w:rPr>
          <w:rFonts w:asciiTheme="minorEastAsia" w:hAnsiTheme="minorEastAsia"/>
          <w:szCs w:val="21"/>
        </w:rPr>
      </w:pPr>
      <w:r>
        <w:rPr>
          <w:rFonts w:hint="eastAsia" w:asciiTheme="minorEastAsia" w:hAnsiTheme="minorEastAsia"/>
          <w:szCs w:val="21"/>
        </w:rPr>
        <w:t>4）蔬菜类要求</w:t>
      </w:r>
    </w:p>
    <w:p>
      <w:pPr>
        <w:ind w:firstLine="315" w:firstLineChars="150"/>
        <w:rPr>
          <w:rFonts w:asciiTheme="minorEastAsia" w:hAnsiTheme="minorEastAsia"/>
          <w:szCs w:val="21"/>
        </w:rPr>
      </w:pPr>
      <w:r>
        <w:rPr>
          <w:rFonts w:hint="eastAsia" w:asciiTheme="minorEastAsia" w:hAnsiTheme="minorEastAsia"/>
          <w:szCs w:val="21"/>
        </w:rPr>
        <w:t>（1）属季节问题，若出现品种不能满足甲方需求的情况，可与甲方协商调换相应类别的品种（按叶菜、瓜菜等进行分类）。</w:t>
      </w:r>
    </w:p>
    <w:p>
      <w:pPr>
        <w:ind w:firstLine="315" w:firstLineChars="150"/>
        <w:rPr>
          <w:rFonts w:asciiTheme="minorEastAsia" w:hAnsiTheme="minorEastAsia"/>
          <w:szCs w:val="21"/>
        </w:rPr>
      </w:pPr>
      <w:r>
        <w:rPr>
          <w:rFonts w:hint="eastAsia" w:asciiTheme="minorEastAsia" w:hAnsiTheme="minorEastAsia"/>
          <w:szCs w:val="21"/>
        </w:rPr>
        <w:t>（2）蔬菜、瓜、果必须是优质货品，不得含有残留农药或污染物，必须保证所供应的蔬菜符合卫生标准，同时承担因所供蔬菜问题引起的一切事故后果。</w:t>
      </w:r>
      <w:r>
        <w:rPr>
          <w:rFonts w:hint="eastAsia" w:ascii="宋体" w:hAnsi="宋体" w:cs="宋体"/>
          <w:szCs w:val="21"/>
        </w:rPr>
        <w:t>每天采购蔬果须提供合格的农药残留检测报告，同时每周按甲方要求送市场监管部门复检。</w:t>
      </w:r>
    </w:p>
    <w:p>
      <w:pPr>
        <w:ind w:firstLine="315" w:firstLineChars="150"/>
        <w:rPr>
          <w:rFonts w:asciiTheme="minorEastAsia" w:hAnsiTheme="minorEastAsia"/>
          <w:szCs w:val="21"/>
        </w:rPr>
      </w:pPr>
      <w:r>
        <w:rPr>
          <w:rFonts w:hint="eastAsia" w:asciiTheme="minorEastAsia" w:hAnsiTheme="minorEastAsia"/>
          <w:szCs w:val="21"/>
        </w:rPr>
        <w:t>（3）蔬菜类应保持较好的色泽和新鲜度,严禁采购有害、有毒、腐烂变质、酸败、霉变、生虫、污垢不洁、混有异物或其他感官性状异常的食品。蔬菜应无损伤、腐烂现象，无寄生虫或已受虫害现象。禁止采购超过保质期限的食品。</w:t>
      </w:r>
    </w:p>
    <w:p>
      <w:pPr>
        <w:ind w:firstLine="315" w:firstLineChars="150"/>
        <w:rPr>
          <w:rFonts w:asciiTheme="minorEastAsia" w:hAnsiTheme="minorEastAsia"/>
          <w:szCs w:val="21"/>
        </w:rPr>
      </w:pPr>
      <w:r>
        <w:rPr>
          <w:rFonts w:hint="eastAsia" w:asciiTheme="minorEastAsia" w:hAnsiTheme="minorEastAsia"/>
          <w:szCs w:val="21"/>
        </w:rPr>
        <w:t>5）水果类质量要求：</w:t>
      </w:r>
    </w:p>
    <w:p>
      <w:pPr>
        <w:ind w:firstLine="315" w:firstLineChars="150"/>
        <w:rPr>
          <w:rFonts w:asciiTheme="minorEastAsia" w:hAnsiTheme="minorEastAsia"/>
          <w:szCs w:val="21"/>
        </w:rPr>
      </w:pPr>
      <w:r>
        <w:rPr>
          <w:rFonts w:hint="eastAsia" w:asciiTheme="minorEastAsia" w:hAnsiTheme="minorEastAsia"/>
          <w:szCs w:val="21"/>
        </w:rPr>
        <w:t>（1）水果供应链要求：所有水果的来源必须清晰。</w:t>
      </w:r>
    </w:p>
    <w:p>
      <w:pPr>
        <w:ind w:firstLine="315" w:firstLineChars="150"/>
        <w:rPr>
          <w:rFonts w:asciiTheme="minorEastAsia" w:hAnsiTheme="minorEastAsia"/>
          <w:szCs w:val="21"/>
        </w:rPr>
      </w:pPr>
      <w:r>
        <w:rPr>
          <w:rFonts w:hint="eastAsia" w:asciiTheme="minorEastAsia" w:hAnsiTheme="minorEastAsia"/>
          <w:szCs w:val="21"/>
        </w:rPr>
        <w:t>（2）所提供的水果应当色泽光鲜、水润饱满、无腐烂，果品表面清洁新鲜，无病虫害和机械损伤，带有芳香味。</w:t>
      </w:r>
    </w:p>
    <w:p>
      <w:pPr>
        <w:ind w:firstLine="315" w:firstLineChars="150"/>
        <w:rPr>
          <w:rFonts w:asciiTheme="minorEastAsia" w:hAnsiTheme="minorEastAsia"/>
          <w:szCs w:val="21"/>
        </w:rPr>
      </w:pPr>
      <w:r>
        <w:rPr>
          <w:rFonts w:hint="eastAsia" w:asciiTheme="minorEastAsia" w:hAnsiTheme="minorEastAsia"/>
          <w:szCs w:val="21"/>
        </w:rPr>
        <w:t>6）大米质量标准</w:t>
      </w:r>
    </w:p>
    <w:p>
      <w:pPr>
        <w:ind w:firstLine="315" w:firstLineChars="150"/>
        <w:rPr>
          <w:rFonts w:asciiTheme="minorEastAsia" w:hAnsiTheme="minorEastAsia"/>
          <w:szCs w:val="21"/>
        </w:rPr>
      </w:pPr>
      <w:r>
        <w:rPr>
          <w:rFonts w:hint="eastAsia" w:asciiTheme="minorEastAsia" w:hAnsiTheme="minorEastAsia"/>
          <w:szCs w:val="21"/>
        </w:rPr>
        <w:t>（1）米类执行标准： GB 1354-2009（本标准中的真菌毒素限量指标被GB 2761-2011 食品安全国家标准食品中真菌毒素限量中的相应指标代替。本标准中的4.3.3农药最大残留限量部分被GB 2763-2012 食品安全国家标准食品中农药最大残留限量中相应指标替代）标准一等米，不含添加剂</w:t>
      </w:r>
    </w:p>
    <w:p>
      <w:pPr>
        <w:ind w:firstLine="315" w:firstLineChars="150"/>
        <w:rPr>
          <w:rFonts w:asciiTheme="minorEastAsia" w:hAnsiTheme="minorEastAsia"/>
          <w:szCs w:val="21"/>
        </w:rPr>
      </w:pPr>
      <w:r>
        <w:rPr>
          <w:rFonts w:hint="eastAsia" w:asciiTheme="minorEastAsia" w:hAnsiTheme="minorEastAsia"/>
          <w:szCs w:val="21"/>
        </w:rPr>
        <w:t>（2）大米的质量标准：除符合标准一等米外，要求：</w:t>
      </w:r>
    </w:p>
    <w:p>
      <w:pPr>
        <w:ind w:firstLine="315" w:firstLineChars="150"/>
        <w:rPr>
          <w:rFonts w:asciiTheme="minorEastAsia" w:hAnsiTheme="minorEastAsia"/>
          <w:szCs w:val="21"/>
        </w:rPr>
      </w:pPr>
      <w:r>
        <w:rPr>
          <w:rFonts w:hint="eastAsia" w:asciiTheme="minorEastAsia" w:hAnsiTheme="minorEastAsia"/>
          <w:szCs w:val="21"/>
        </w:rPr>
        <w:t>碎米总量≤17%（国家标准：≤35%）</w:t>
      </w:r>
    </w:p>
    <w:p>
      <w:pPr>
        <w:ind w:firstLine="315" w:firstLineChars="150"/>
        <w:rPr>
          <w:rFonts w:asciiTheme="minorEastAsia" w:hAnsiTheme="minorEastAsia"/>
          <w:szCs w:val="21"/>
        </w:rPr>
      </w:pPr>
      <w:r>
        <w:rPr>
          <w:rFonts w:hint="eastAsia" w:asciiTheme="minorEastAsia" w:hAnsiTheme="minorEastAsia"/>
          <w:szCs w:val="21"/>
        </w:rPr>
        <w:t>小碎米总量≤2%（国家标准：≤2.5%）</w:t>
      </w:r>
    </w:p>
    <w:p>
      <w:pPr>
        <w:ind w:firstLine="315" w:firstLineChars="150"/>
        <w:rPr>
          <w:rFonts w:asciiTheme="minorEastAsia" w:hAnsiTheme="minorEastAsia"/>
          <w:szCs w:val="21"/>
        </w:rPr>
      </w:pPr>
      <w:r>
        <w:rPr>
          <w:rFonts w:hint="eastAsia" w:asciiTheme="minorEastAsia" w:hAnsiTheme="minorEastAsia"/>
          <w:szCs w:val="21"/>
        </w:rPr>
        <w:t>不完善粒≤3.5%（国家标准：≤4.0%）</w:t>
      </w:r>
    </w:p>
    <w:p>
      <w:pPr>
        <w:ind w:firstLine="315" w:firstLineChars="150"/>
        <w:rPr>
          <w:rFonts w:asciiTheme="minorEastAsia" w:hAnsiTheme="minorEastAsia"/>
          <w:szCs w:val="21"/>
        </w:rPr>
      </w:pPr>
      <w:r>
        <w:rPr>
          <w:rFonts w:hint="eastAsia" w:asciiTheme="minorEastAsia" w:hAnsiTheme="minorEastAsia"/>
          <w:szCs w:val="21"/>
        </w:rPr>
        <w:t>黄米粒按国家标准执行。</w:t>
      </w:r>
    </w:p>
    <w:p>
      <w:pPr>
        <w:ind w:firstLine="315" w:firstLineChars="150"/>
        <w:rPr>
          <w:rFonts w:asciiTheme="minorEastAsia" w:hAnsiTheme="minorEastAsia"/>
          <w:szCs w:val="21"/>
        </w:rPr>
      </w:pPr>
      <w:r>
        <w:rPr>
          <w:rFonts w:hint="eastAsia" w:asciiTheme="minorEastAsia" w:hAnsiTheme="minorEastAsia"/>
          <w:szCs w:val="21"/>
        </w:rPr>
        <w:t>（3）有“QS”标志，标明加工厂名称、品名、生产日期、保持期或保存期，供货时的剩余保质期不少于三分之二，质量等级、产品标准号、产品合格证，质量符合米类执行标准。</w:t>
      </w:r>
    </w:p>
    <w:p>
      <w:pPr>
        <w:ind w:firstLine="315" w:firstLineChars="150"/>
        <w:rPr>
          <w:rFonts w:asciiTheme="minorEastAsia" w:hAnsiTheme="minorEastAsia"/>
          <w:szCs w:val="21"/>
        </w:rPr>
      </w:pPr>
      <w:r>
        <w:rPr>
          <w:rFonts w:hint="eastAsia" w:asciiTheme="minorEastAsia" w:hAnsiTheme="minorEastAsia"/>
          <w:szCs w:val="21"/>
        </w:rPr>
        <w:t>（4）具有固有色泽和香味，无污染、无虫害，色泽、气味、口味正常，无异味或霉味（霉变），无虫蛀结块挂丝或杂质异等，符合国家粮食卫生标准。</w:t>
      </w:r>
    </w:p>
    <w:p>
      <w:pPr>
        <w:ind w:firstLine="315" w:firstLineChars="150"/>
        <w:rPr>
          <w:rFonts w:asciiTheme="minorEastAsia" w:hAnsiTheme="minorEastAsia"/>
          <w:szCs w:val="21"/>
        </w:rPr>
      </w:pPr>
      <w:r>
        <w:rPr>
          <w:rFonts w:hint="eastAsia" w:asciiTheme="minorEastAsia" w:hAnsiTheme="minorEastAsia"/>
          <w:szCs w:val="21"/>
        </w:rPr>
        <w:t>7）油类质量要求：</w:t>
      </w:r>
    </w:p>
    <w:p>
      <w:pPr>
        <w:ind w:firstLine="315" w:firstLineChars="150"/>
        <w:rPr>
          <w:rFonts w:asciiTheme="minorEastAsia" w:hAnsiTheme="minorEastAsia"/>
          <w:szCs w:val="21"/>
        </w:rPr>
      </w:pPr>
      <w:r>
        <w:rPr>
          <w:rFonts w:hint="eastAsia" w:asciiTheme="minorEastAsia" w:hAnsiTheme="minorEastAsia"/>
          <w:szCs w:val="21"/>
        </w:rPr>
        <w:t>每个食用油品种必须色泽好，透明度高，无浑浊，无沉淀和悬浮物，粘度小，无分层现象，气味正常，无酸臭异味。严格执行国家质量标准及卫生安全标准，色泽、气味、霉变、真菌毒素、重金属污染物、农药等严格控制在国家标准范围内（原粮及成品粮色泽、气味必须正常。霉变粒不得超过2％。真菌毒素：黄曲霉毒素B1 （5μg/kg～20μg/kg）、脱氧雪腐镰刀菌烯醇（≤1000μg/kg）、玉米赤霉烯酮（≤60μg/kg）、赭曲霉毒素A（</w:t>
      </w:r>
      <w:r>
        <w:rPr>
          <w:rFonts w:hint="eastAsia" w:asciiTheme="minorEastAsia" w:hAnsiTheme="minorEastAsia" w:eastAsiaTheme="minorEastAsia"/>
          <w:szCs w:val="21"/>
        </w:rPr>
        <w:t>≤</w:t>
      </w:r>
      <w:r>
        <w:rPr>
          <w:rFonts w:hint="eastAsia" w:asciiTheme="minorEastAsia" w:hAnsiTheme="minorEastAsia"/>
          <w:szCs w:val="21"/>
        </w:rPr>
        <w:t>5μg/kg）。重金属污染物：铅（≤0.2mg/kg）、镉(0.1 mg/kg～0.2 mg/kg)、汞（</w:t>
      </w:r>
      <w:r>
        <w:rPr>
          <w:rFonts w:hint="eastAsia" w:asciiTheme="minorEastAsia" w:hAnsiTheme="minorEastAsia" w:eastAsiaTheme="minorEastAsia"/>
          <w:szCs w:val="21"/>
        </w:rPr>
        <w:t>≤</w:t>
      </w:r>
      <w:r>
        <w:rPr>
          <w:rFonts w:hint="eastAsia" w:asciiTheme="minorEastAsia" w:hAnsiTheme="minorEastAsia"/>
          <w:szCs w:val="21"/>
        </w:rPr>
        <w:t>0.02 mg/kg）、无机砷（0.1 mg/kg～0.2 mg/kg）。农药：对磷化物、马拉硫磷等140余种农药规定了最大残留限量。并根据甲方需求的食用油等级保证用油质量。</w:t>
      </w:r>
    </w:p>
    <w:p>
      <w:pPr>
        <w:ind w:firstLine="315" w:firstLineChars="150"/>
        <w:rPr>
          <w:rFonts w:asciiTheme="minorEastAsia" w:hAnsiTheme="minorEastAsia"/>
          <w:szCs w:val="21"/>
        </w:rPr>
      </w:pPr>
      <w:r>
        <w:rPr>
          <w:rFonts w:hint="eastAsia" w:asciiTheme="minorEastAsia" w:hAnsiTheme="minorEastAsia"/>
          <w:szCs w:val="21"/>
        </w:rPr>
        <w:t>8）干货、副食品、调味品要求</w:t>
      </w:r>
    </w:p>
    <w:p>
      <w:pPr>
        <w:ind w:firstLine="315" w:firstLineChars="150"/>
        <w:rPr>
          <w:rFonts w:asciiTheme="minorEastAsia" w:hAnsiTheme="minorEastAsia"/>
          <w:szCs w:val="21"/>
        </w:rPr>
      </w:pPr>
      <w:r>
        <w:rPr>
          <w:rFonts w:hint="eastAsia" w:asciiTheme="minorEastAsia" w:hAnsiTheme="minorEastAsia"/>
          <w:szCs w:val="21"/>
        </w:rPr>
        <w:t>（1）干货、副食品的质量基本标准要求符合国家行业标准，干爽、不霉烂、整齐、均匀、完整、无虫蛀、无杂质，保持应有的色泽。确保产品质量稳定，保证营养丰富、绿色安全、海味浓郁、易存放、食用方便，保质期长。从加工、包装、运输、贮存到销售全部符合国家规定标准。甲方可根据实际情况对需要的干货、副食品进行品质抽检，对质量未达到国家标准的副食品甲方有权拒绝接受。</w:t>
      </w:r>
    </w:p>
    <w:p>
      <w:pPr>
        <w:ind w:firstLine="315" w:firstLineChars="150"/>
        <w:rPr>
          <w:rFonts w:asciiTheme="minorEastAsia" w:hAnsiTheme="minorEastAsia"/>
          <w:szCs w:val="21"/>
        </w:rPr>
      </w:pPr>
      <w:r>
        <w:rPr>
          <w:rFonts w:hint="eastAsia" w:asciiTheme="minorEastAsia" w:hAnsiTheme="minorEastAsia"/>
          <w:szCs w:val="21"/>
        </w:rPr>
        <w:t>（2）所有副食品调味料均为正规厂家生产，包装完整，所有产品有“QS”标志，标明商品名称、规格、生产商、产地、生产日期、保质期或保存期。</w:t>
      </w:r>
    </w:p>
    <w:p>
      <w:pPr>
        <w:ind w:firstLine="315" w:firstLineChars="150"/>
        <w:rPr>
          <w:rFonts w:asciiTheme="minorEastAsia" w:hAnsiTheme="minorEastAsia"/>
          <w:szCs w:val="21"/>
        </w:rPr>
      </w:pPr>
      <w:r>
        <w:rPr>
          <w:rFonts w:hint="eastAsia" w:asciiTheme="minorEastAsia" w:hAnsiTheme="minorEastAsia"/>
          <w:szCs w:val="21"/>
        </w:rPr>
        <w:t>（3）酱油：合格的酱油颜色比较红、亮，有光泽、透明，把这酱油倒在瓶子里后，摇一下，合格酱油产生的泡沫非常细腻，保持持久，挂碗现象非常好，有一种发黏的感觉；不合格的酱油泡沫比较大，很容易散去，挂碗现象不好，很容易滑落。</w:t>
      </w:r>
    </w:p>
    <w:p>
      <w:pPr>
        <w:ind w:firstLine="315" w:firstLineChars="150"/>
        <w:rPr>
          <w:rFonts w:asciiTheme="minorEastAsia" w:hAnsiTheme="minorEastAsia"/>
          <w:szCs w:val="21"/>
        </w:rPr>
      </w:pPr>
      <w:r>
        <w:rPr>
          <w:rFonts w:hint="eastAsia" w:asciiTheme="minorEastAsia" w:hAnsiTheme="minorEastAsia"/>
          <w:szCs w:val="21"/>
        </w:rPr>
        <w:t>（4）味精：无色至白色结晶或粉末，具有特殊的鲜味，无异味，无肉眼可见杂质。食醋具有正常食醋的色泽、气味和滋味，不涩，无其他不良气味与异味，无浮物，不浑浊，无沉淀，无异物，无醋鳗、醋虱。</w:t>
      </w:r>
    </w:p>
    <w:p>
      <w:pPr>
        <w:ind w:firstLine="315" w:firstLineChars="150"/>
        <w:rPr>
          <w:rFonts w:asciiTheme="minorEastAsia" w:hAnsiTheme="minorEastAsia"/>
          <w:szCs w:val="21"/>
        </w:rPr>
      </w:pPr>
      <w:r>
        <w:rPr>
          <w:rFonts w:hint="eastAsia" w:asciiTheme="minorEastAsia" w:hAnsiTheme="minorEastAsia"/>
          <w:szCs w:val="21"/>
        </w:rPr>
        <w:t>（5）酱腌菜：具有酱腌菜固有的色、香、味，无杂质，无其他不良气味，不得有霉斑白膜。</w:t>
      </w:r>
    </w:p>
    <w:p>
      <w:pPr>
        <w:ind w:firstLine="315" w:firstLineChars="150"/>
        <w:rPr>
          <w:rFonts w:asciiTheme="minorEastAsia" w:hAnsiTheme="minorEastAsia"/>
          <w:szCs w:val="21"/>
        </w:rPr>
      </w:pPr>
      <w:r>
        <w:rPr>
          <w:rFonts w:hint="eastAsia" w:asciiTheme="minorEastAsia" w:hAnsiTheme="minorEastAsia"/>
          <w:szCs w:val="21"/>
        </w:rPr>
        <w:t>（6）酱类食品：具有正常酿造酱的色泽、气味和滋味，不涩，无其他不良气味，不得有酸、苦、焦糊及其它异味、异物。</w:t>
      </w:r>
    </w:p>
    <w:p>
      <w:pPr>
        <w:ind w:firstLine="315" w:firstLineChars="150"/>
        <w:rPr>
          <w:rFonts w:asciiTheme="minorEastAsia" w:hAnsiTheme="minorEastAsia"/>
          <w:szCs w:val="21"/>
        </w:rPr>
      </w:pPr>
      <w:r>
        <w:rPr>
          <w:rFonts w:hint="eastAsia" w:asciiTheme="minorEastAsia" w:hAnsiTheme="minorEastAsia"/>
          <w:szCs w:val="21"/>
        </w:rPr>
        <w:t>（7）淀粉制品：具有各自品种固有的形态和色泽，不酸、不粘、不发霉，无变质，无异味，无杂质，口尝无砂质。</w:t>
      </w:r>
    </w:p>
    <w:p>
      <w:pPr>
        <w:ind w:firstLine="315" w:firstLineChars="150"/>
        <w:rPr>
          <w:rFonts w:asciiTheme="minorEastAsia" w:hAnsiTheme="minorEastAsia"/>
          <w:szCs w:val="21"/>
        </w:rPr>
      </w:pPr>
      <w:r>
        <w:rPr>
          <w:rFonts w:hint="eastAsia" w:asciiTheme="minorEastAsia" w:hAnsiTheme="minorEastAsia"/>
          <w:szCs w:val="21"/>
        </w:rPr>
        <w:t>（8）食盐：结晶整齐一致，坚硬光滑，呈透明或半透明，不结块，无反卤吸潮现象，无杂质，沾取少许尝试具有纯正的咸味。</w:t>
      </w:r>
    </w:p>
    <w:p>
      <w:pPr>
        <w:ind w:firstLine="315" w:firstLineChars="150"/>
        <w:rPr>
          <w:rFonts w:asciiTheme="minorEastAsia" w:hAnsiTheme="minorEastAsia"/>
          <w:szCs w:val="21"/>
        </w:rPr>
      </w:pPr>
      <w:r>
        <w:rPr>
          <w:rFonts w:hint="eastAsia" w:asciiTheme="minorEastAsia" w:hAnsiTheme="minorEastAsia"/>
          <w:szCs w:val="21"/>
        </w:rPr>
        <w:t>（9）鸡蛋：蛋壳清洁完整，色泽鲜明，无破损、裂纹，无霉斑，灯光透视时，整个蛋呈桔黄色至橙红色，蛋黄不见或略见阴影，没有霉味、酸味，臭味等不良气味，打开后蛋黄凸起、完整、有韧性，蛋白澄清、透明、稀稠分明，无异味。</w:t>
      </w:r>
    </w:p>
    <w:p>
      <w:pPr>
        <w:ind w:firstLine="315" w:firstLineChars="150"/>
        <w:rPr>
          <w:rFonts w:asciiTheme="minorEastAsia" w:hAnsiTheme="minorEastAsia"/>
          <w:szCs w:val="21"/>
        </w:rPr>
      </w:pPr>
      <w:r>
        <w:rPr>
          <w:rFonts w:hint="eastAsia" w:asciiTheme="minorEastAsia" w:hAnsiTheme="minorEastAsia"/>
          <w:szCs w:val="21"/>
        </w:rPr>
        <w:t>（10）皮蛋：外表泥状包料完整、无霉斑，包料除掉后蛋壳完整无损，灯光透照蛋内容物凝固不动，打开观察，整个蛋凝固、不粘壳、清洁而有弹性，呈半透明的棕黄色，闻起来有芳香，无辛辣气。</w:t>
      </w:r>
    </w:p>
    <w:p>
      <w:pPr>
        <w:ind w:firstLine="315" w:firstLineChars="150"/>
        <w:rPr>
          <w:rFonts w:asciiTheme="minorEastAsia" w:hAnsiTheme="minorEastAsia"/>
          <w:szCs w:val="21"/>
        </w:rPr>
      </w:pPr>
      <w:r>
        <w:rPr>
          <w:rFonts w:hint="eastAsia" w:asciiTheme="minorEastAsia" w:hAnsiTheme="minorEastAsia"/>
          <w:szCs w:val="21"/>
        </w:rPr>
        <w:t>（11）咸蛋：蛋壳完整无损，无裂纹或霉斑，摇动时有轻度水荡漾感觉，灯光透视蛋黄凝结、呈橙黄色且靠近蛋壳，蛋清呈白色水样透明，生蛋打开可见蛋清稀薄透明，蛋黄呈红色或淡红色，浓缩粘度增强，但不硬固，煮熟后打开，可见蛋清白嫩，蛋黄口味有细沙感，富于油脂，品尝则有咸蛋固有的香味。</w:t>
      </w:r>
    </w:p>
    <w:p>
      <w:pPr>
        <w:ind w:firstLine="315" w:firstLineChars="150"/>
        <w:rPr>
          <w:rFonts w:asciiTheme="minorEastAsia" w:hAnsiTheme="minorEastAsia"/>
          <w:szCs w:val="21"/>
        </w:rPr>
      </w:pPr>
      <w:r>
        <w:rPr>
          <w:rFonts w:hint="eastAsia" w:asciiTheme="minorEastAsia" w:hAnsiTheme="minorEastAsia"/>
          <w:szCs w:val="21"/>
        </w:rPr>
        <w:t>（12）面粉：色泽呈白色或微黄色，不发暗，无杂质的颜色，呈细粉末状，不含杂质，手指捻捏时无粗粒感，无虫子和结块，置于手中紧捏后放开不成团，具有面粉的正常气味，无其他异味。</w:t>
      </w:r>
    </w:p>
    <w:p>
      <w:pPr>
        <w:ind w:firstLine="315" w:firstLineChars="150"/>
        <w:rPr>
          <w:rFonts w:asciiTheme="minorEastAsia" w:hAnsiTheme="minorEastAsia"/>
          <w:szCs w:val="21"/>
        </w:rPr>
      </w:pPr>
      <w:r>
        <w:rPr>
          <w:rFonts w:hint="eastAsia" w:asciiTheme="minorEastAsia" w:hAnsiTheme="minorEastAsia"/>
          <w:szCs w:val="21"/>
        </w:rPr>
        <w:t>（13）豆腐：豆腐呈均匀的乳白色或淡黄色，稍有光泽，块形完整，软硬适度，富有一定的弹性，质地细嫩，结构均匀，无杂质，具有豆腐特有的香味，取样品品尝时口感细腻鲜嫩，味道纯正清香。</w:t>
      </w:r>
    </w:p>
    <w:p>
      <w:pPr>
        <w:ind w:firstLine="315" w:firstLineChars="150"/>
        <w:rPr>
          <w:rFonts w:asciiTheme="minorEastAsia" w:hAnsiTheme="minorEastAsia"/>
          <w:szCs w:val="21"/>
        </w:rPr>
      </w:pPr>
      <w:r>
        <w:rPr>
          <w:rFonts w:hint="eastAsia" w:asciiTheme="minorEastAsia" w:hAnsiTheme="minorEastAsia"/>
          <w:szCs w:val="21"/>
        </w:rPr>
        <w:t>（14）豆腐泡：为金黄色或棕黄色，色彩鲜艳而有光泽，块形整齐，有弹性，皮脆，内质呈蜂窝状，不粘不散，无杂质，具有豆腐泡特有的清香风味，无其他任何不良气味，取样品细细咀嚼，外皮酥脆适口，泡内软嫩，咸香适度，具有豆腐泡固有的滋味。</w:t>
      </w:r>
    </w:p>
    <w:p>
      <w:pPr>
        <w:ind w:firstLine="315" w:firstLineChars="150"/>
        <w:rPr>
          <w:rFonts w:asciiTheme="minorEastAsia" w:hAnsiTheme="minorEastAsia"/>
          <w:szCs w:val="21"/>
        </w:rPr>
      </w:pPr>
      <w:r>
        <w:rPr>
          <w:rFonts w:hint="eastAsia" w:asciiTheme="minorEastAsia" w:hAnsiTheme="minorEastAsia"/>
          <w:szCs w:val="21"/>
        </w:rPr>
        <w:t>（15）腐竹：为枝条或片叶状，质脆易折，条状折断有空心，无霉斑、杂质、虫蛀。呈淡黄色，有光泽。具有腐竹固有的香味，无其他任何异味，取样品品尝其滋味，具有腐竹固有的鲜香滋味。</w:t>
      </w:r>
    </w:p>
    <w:p>
      <w:pPr>
        <w:ind w:firstLine="315" w:firstLineChars="150"/>
        <w:rPr>
          <w:rFonts w:asciiTheme="minorEastAsia" w:hAnsiTheme="minorEastAsia"/>
          <w:szCs w:val="21"/>
        </w:rPr>
      </w:pPr>
      <w:r>
        <w:rPr>
          <w:rFonts w:hint="eastAsia" w:asciiTheme="minorEastAsia" w:hAnsiTheme="minorEastAsia"/>
          <w:szCs w:val="21"/>
        </w:rPr>
        <w:t>（16）腐乳：红腐乳表面呈红色或枣红色，内部呈杏黄色，色泽鲜艳，有光泽。白腐乳外表呈乳黄色。块形整齐均匀，质地细腻，无霉斑、霉变及杂质。具有各品种的腐乳特有的香味或特征气味，无任何其他异味，滋味鲜美，咸淡适口，无任何其他异味。</w:t>
      </w:r>
    </w:p>
    <w:p>
      <w:pPr>
        <w:ind w:firstLine="315" w:firstLineChars="150"/>
        <w:rPr>
          <w:rFonts w:asciiTheme="minorEastAsia" w:hAnsiTheme="minorEastAsia"/>
          <w:szCs w:val="21"/>
        </w:rPr>
      </w:pPr>
      <w:r>
        <w:rPr>
          <w:rFonts w:hint="eastAsia" w:asciiTheme="minorEastAsia" w:hAnsiTheme="minorEastAsia"/>
          <w:szCs w:val="21"/>
        </w:rPr>
        <w:t>（17）大豆：大豆根据其种皮颜色和粒形可分为黄大豆、青大豆、黑大豆、其他大豆(赤色、褐色、棕色等) 和饲料豆(秣食豆)五类。大豆皮色呈各种大豆固有的颜色，光彩油亮，洁净而有光泽，颗粒饱满，整齐均匀，无虫蛀粒，无杂质，无霉变。</w:t>
      </w:r>
    </w:p>
    <w:p>
      <w:pPr>
        <w:ind w:firstLine="315" w:firstLineChars="150"/>
        <w:rPr>
          <w:rFonts w:asciiTheme="minorEastAsia" w:hAnsiTheme="minorEastAsia"/>
          <w:szCs w:val="21"/>
        </w:rPr>
      </w:pPr>
      <w:r>
        <w:rPr>
          <w:rFonts w:hint="eastAsia" w:asciiTheme="minorEastAsia" w:hAnsiTheme="minorEastAsia"/>
          <w:szCs w:val="21"/>
        </w:rPr>
        <w:t>（18）花生：果荚呈土黄色或白色，果仁呈各不同品种所特有的颜色，色泽分布均匀一致，带荚花生和去荚果仁均颗粒饱满、形态完整、大小均匀，子叶肥厚而有光泽，无杂质，具有花生特有的气味、香味，无任何异味。</w:t>
      </w:r>
    </w:p>
    <w:p>
      <w:pPr>
        <w:ind w:firstLine="315" w:firstLineChars="150"/>
        <w:rPr>
          <w:rFonts w:asciiTheme="minorEastAsia" w:hAnsiTheme="minorEastAsia"/>
          <w:szCs w:val="21"/>
        </w:rPr>
      </w:pPr>
      <w:r>
        <w:rPr>
          <w:rFonts w:hint="eastAsia" w:asciiTheme="minorEastAsia" w:hAnsiTheme="minorEastAsia"/>
          <w:szCs w:val="21"/>
        </w:rPr>
        <w:t>（19）食糖：食糖根据经营习惯分为白糖、红糖、冰糖、方糖等。</w:t>
      </w:r>
    </w:p>
    <w:p>
      <w:pPr>
        <w:ind w:firstLine="315" w:firstLineChars="150"/>
        <w:rPr>
          <w:rFonts w:asciiTheme="minorEastAsia" w:hAnsiTheme="minorEastAsia"/>
          <w:szCs w:val="21"/>
        </w:rPr>
      </w:pPr>
      <w:r>
        <w:rPr>
          <w:rFonts w:hint="eastAsia" w:asciiTheme="minorEastAsia" w:hAnsiTheme="minorEastAsia"/>
          <w:szCs w:val="21"/>
        </w:rPr>
        <w:t>①白糖的感官鉴别：色泽洁白明亮，有光泽，具有白糖的正常气味，无酸味、酒味或其他外来气味。</w:t>
      </w:r>
    </w:p>
    <w:p>
      <w:pPr>
        <w:ind w:firstLine="315" w:firstLineChars="150"/>
        <w:rPr>
          <w:rFonts w:asciiTheme="minorEastAsia" w:hAnsiTheme="minorEastAsia"/>
          <w:szCs w:val="21"/>
        </w:rPr>
      </w:pPr>
      <w:r>
        <w:rPr>
          <w:rFonts w:hint="eastAsia" w:asciiTheme="minorEastAsia" w:hAnsiTheme="minorEastAsia"/>
          <w:szCs w:val="21"/>
        </w:rPr>
        <w:t>白砂糖：颗粒大如砂粒，晶粒均匀整齐，晶面明显，无碎末，糖质坚硬。</w:t>
      </w:r>
    </w:p>
    <w:p>
      <w:pPr>
        <w:ind w:firstLine="315" w:firstLineChars="150"/>
        <w:rPr>
          <w:rFonts w:asciiTheme="minorEastAsia" w:hAnsiTheme="minorEastAsia"/>
          <w:szCs w:val="21"/>
        </w:rPr>
      </w:pPr>
      <w:r>
        <w:rPr>
          <w:rFonts w:hint="eastAsia" w:asciiTheme="minorEastAsia" w:hAnsiTheme="minorEastAsia"/>
          <w:szCs w:val="21"/>
        </w:rPr>
        <w:t>绵白糖：颗粒细小而均匀，质地绵软、潮润。</w:t>
      </w:r>
    </w:p>
    <w:p>
      <w:pPr>
        <w:ind w:firstLine="315" w:firstLineChars="150"/>
        <w:rPr>
          <w:rFonts w:asciiTheme="minorEastAsia" w:hAnsiTheme="minorEastAsia"/>
          <w:szCs w:val="21"/>
        </w:rPr>
      </w:pPr>
      <w:r>
        <w:rPr>
          <w:rFonts w:hint="eastAsia" w:asciiTheme="minorEastAsia" w:hAnsiTheme="minorEastAsia"/>
          <w:szCs w:val="21"/>
        </w:rPr>
        <w:t>冰糖：块形完整，个粒均匀，结晶组织严密，透明或半透明，无破碎。</w:t>
      </w:r>
    </w:p>
    <w:p>
      <w:pPr>
        <w:ind w:firstLine="315" w:firstLineChars="150"/>
        <w:rPr>
          <w:rFonts w:asciiTheme="minorEastAsia" w:hAnsiTheme="minorEastAsia"/>
          <w:szCs w:val="21"/>
        </w:rPr>
      </w:pPr>
      <w:r>
        <w:rPr>
          <w:rFonts w:hint="eastAsia" w:asciiTheme="minorEastAsia" w:hAnsiTheme="minorEastAsia"/>
          <w:szCs w:val="21"/>
        </w:rPr>
        <w:t>方糖：呈正六面体状，表面平整，无裂纹，铁边，断角，无突出砂粒，无霉斑。</w:t>
      </w:r>
    </w:p>
    <w:p>
      <w:pPr>
        <w:ind w:firstLine="315" w:firstLineChars="150"/>
        <w:rPr>
          <w:rFonts w:asciiTheme="minorEastAsia" w:hAnsiTheme="minorEastAsia"/>
          <w:szCs w:val="21"/>
        </w:rPr>
      </w:pPr>
      <w:r>
        <w:rPr>
          <w:rFonts w:hint="eastAsia" w:asciiTheme="minorEastAsia" w:hAnsiTheme="minorEastAsia"/>
          <w:szCs w:val="21"/>
        </w:rPr>
        <w:t>凡是白糖都应干燥，晶粒松散，不粘手，不结块，无肉眼可见的杂质，白糖的水溶液应清晰透明无杂质。</w:t>
      </w:r>
    </w:p>
    <w:p>
      <w:pPr>
        <w:ind w:firstLine="315" w:firstLineChars="150"/>
        <w:rPr>
          <w:rFonts w:asciiTheme="minorEastAsia" w:hAnsiTheme="minorEastAsia"/>
          <w:szCs w:val="21"/>
        </w:rPr>
      </w:pPr>
      <w:r>
        <w:rPr>
          <w:rFonts w:hint="eastAsia" w:asciiTheme="minorEastAsia" w:hAnsiTheme="minorEastAsia"/>
          <w:szCs w:val="21"/>
        </w:rPr>
        <w:t>②红糖的感官鉴别</w:t>
      </w:r>
    </w:p>
    <w:p>
      <w:pPr>
        <w:ind w:firstLine="315" w:firstLineChars="150"/>
        <w:rPr>
          <w:rFonts w:asciiTheme="minorEastAsia" w:hAnsiTheme="minorEastAsia"/>
          <w:szCs w:val="21"/>
        </w:rPr>
      </w:pPr>
      <w:r>
        <w:rPr>
          <w:rFonts w:hint="eastAsia" w:asciiTheme="minorEastAsia" w:hAnsiTheme="minorEastAsia"/>
          <w:szCs w:val="21"/>
        </w:rPr>
        <w:t>红糖可细分为赤砂糖和红糖两种，其中赤砂糖是机制未经洗蜜的糖，红糖是用手工制成的土糖。因红糖的颜色有红褐、青褐、黄褐、赤红、金黄、淡黄、枣红等多种，很不一致，故凭色泽难以识别红糖的质量，应将感官鉴别的侧重点放在组织状态、气味、滋味三个指标上。呈晶粒状或粉末状，干燥而松散，不结块，不成团，杂质，其水溶液清晰，无沉淀，无悬浮物，具有甘蔗汁的清香味，无有酒味、酸味或其他外来不良气味，口味浓甜带鲜，微有糖蜜味，无焦苦味或其他外来异味。</w:t>
      </w:r>
    </w:p>
    <w:p>
      <w:pPr>
        <w:ind w:firstLine="315" w:firstLineChars="150"/>
        <w:rPr>
          <w:rFonts w:asciiTheme="minorEastAsia" w:hAnsiTheme="minorEastAsia"/>
          <w:szCs w:val="21"/>
        </w:rPr>
      </w:pPr>
      <w:r>
        <w:rPr>
          <w:rFonts w:hint="eastAsia" w:asciiTheme="minorEastAsia" w:hAnsiTheme="minorEastAsia"/>
          <w:szCs w:val="21"/>
        </w:rPr>
        <w:t>（20）辛辣料：辛辣料是采用植物果实和种子粉碎而配制成的天然植物香料，如五香粉、胡椒粉、花椒粉、咖喱粉、芥末粉等，辛辣料的主要原料有八角、花椒、胡椒、桂皮、小茴香、大茴香、辣椒、孜然等。辛辣料呈干燥状，具有该种香料植物所特有的色、香、味，没有不纯正的气味和味道，无发霉味或其他异味。</w:t>
      </w:r>
    </w:p>
    <w:p>
      <w:pPr>
        <w:ind w:firstLine="315" w:firstLineChars="150"/>
        <w:rPr>
          <w:rFonts w:asciiTheme="minorEastAsia" w:hAnsiTheme="minorEastAsia"/>
          <w:szCs w:val="21"/>
        </w:rPr>
      </w:pPr>
      <w:r>
        <w:rPr>
          <w:rFonts w:hint="eastAsia" w:asciiTheme="minorEastAsia" w:hAnsiTheme="minorEastAsia"/>
          <w:szCs w:val="21"/>
        </w:rPr>
        <w:t>8）冷冻食品类要求：</w:t>
      </w:r>
    </w:p>
    <w:p>
      <w:pPr>
        <w:ind w:firstLine="315" w:firstLineChars="150"/>
        <w:rPr>
          <w:rFonts w:asciiTheme="minorEastAsia" w:hAnsiTheme="minorEastAsia"/>
          <w:szCs w:val="21"/>
        </w:rPr>
      </w:pPr>
      <w:r>
        <w:rPr>
          <w:rFonts w:hint="eastAsia" w:asciiTheme="minorEastAsia" w:hAnsiTheme="minorEastAsia"/>
          <w:szCs w:val="21"/>
        </w:rPr>
        <w:t>（1）冷冻食品类产品，乙方须清晰地列出产品品牌、名称、制造商名称和厂址、型号、生产日期和保质期限、包装类型、包装方式、包装净重量、含冰量等相关参数，且包装箱上必须贴有QS标志。包装：容器(框、箱、袋)要求清洁、干燥、牢固、透气，无污染、无异味、无霉变现象。严禁采购有害、有毒、腐烂变质、酸败、霉变、生虫、污垢不洁、混有异物或其他感官性状异常的食品。禁止采购超过保质期限的食品。</w:t>
      </w:r>
    </w:p>
    <w:p>
      <w:pPr>
        <w:ind w:firstLine="315" w:firstLineChars="150"/>
        <w:rPr>
          <w:rFonts w:asciiTheme="minorEastAsia" w:hAnsiTheme="minorEastAsia"/>
          <w:szCs w:val="21"/>
        </w:rPr>
      </w:pPr>
      <w:r>
        <w:rPr>
          <w:rFonts w:hint="eastAsia" w:asciiTheme="minorEastAsia" w:hAnsiTheme="minorEastAsia"/>
          <w:szCs w:val="21"/>
        </w:rPr>
        <w:t>（2）冷冻水产类食品解冻后净重量不少于82%，冷冻肉类食品解冻后净重量不少于92%，冷冻禽类食品解冻后净重量不少于90%，须解冻4小时以内（室温20℃）使用。所有冷冻食品要求清晰列出产品品牌、规格、类型、包装方式、包装净重、含冰量等相关参数，且包装箱上必须贴有“QS”生产许可标识。</w:t>
      </w:r>
    </w:p>
    <w:p>
      <w:pPr>
        <w:ind w:firstLine="315" w:firstLineChars="150"/>
        <w:rPr>
          <w:rFonts w:asciiTheme="minorEastAsia" w:hAnsiTheme="minorEastAsia"/>
          <w:szCs w:val="21"/>
        </w:rPr>
      </w:pPr>
      <w:r>
        <w:rPr>
          <w:rFonts w:hint="eastAsia" w:asciiTheme="minorEastAsia" w:hAnsiTheme="minorEastAsia"/>
          <w:szCs w:val="21"/>
        </w:rPr>
        <w:t>6、乙方应做好食品留样、台帐和动物检疫证登记，生、熟食品分开，接受甲方和政府职能部门的检查和监督。乙方需认真落实卫生责任制，层层把好卫生关，经常进行自检和监督，及时处理违反卫生条例的行为。具体要求：</w:t>
      </w:r>
    </w:p>
    <w:p>
      <w:pPr>
        <w:ind w:firstLine="315" w:firstLineChars="150"/>
        <w:rPr>
          <w:rFonts w:asciiTheme="minorEastAsia" w:hAnsiTheme="minorEastAsia"/>
          <w:szCs w:val="21"/>
        </w:rPr>
      </w:pPr>
      <w:r>
        <w:rPr>
          <w:rFonts w:hint="eastAsia" w:asciiTheme="minorEastAsia" w:hAnsiTheme="minorEastAsia"/>
          <w:szCs w:val="21"/>
        </w:rPr>
        <w:t>1)食品卫生由专人管理和负责。</w:t>
      </w:r>
    </w:p>
    <w:p>
      <w:pPr>
        <w:ind w:firstLine="315" w:firstLineChars="150"/>
        <w:rPr>
          <w:rFonts w:asciiTheme="minorEastAsia" w:hAnsiTheme="minorEastAsia"/>
          <w:szCs w:val="21"/>
        </w:rPr>
      </w:pPr>
      <w:r>
        <w:rPr>
          <w:rFonts w:hint="eastAsia" w:asciiTheme="minorEastAsia" w:hAnsiTheme="minorEastAsia"/>
          <w:szCs w:val="21"/>
        </w:rPr>
        <w:t>2)餐饮服务许可证应悬挂于醒目处，从业人员应体检、培训合格后，持有效的健康证方可上岗。</w:t>
      </w:r>
    </w:p>
    <w:p>
      <w:pPr>
        <w:ind w:firstLine="315" w:firstLineChars="150"/>
        <w:rPr>
          <w:rFonts w:asciiTheme="minorEastAsia" w:hAnsiTheme="minorEastAsia"/>
          <w:szCs w:val="21"/>
        </w:rPr>
      </w:pPr>
      <w:r>
        <w:rPr>
          <w:rFonts w:hint="eastAsia" w:asciiTheme="minorEastAsia" w:hAnsiTheme="minorEastAsia"/>
          <w:szCs w:val="21"/>
        </w:rPr>
        <w:t>3)从业人员每年体检一次，凡患有传染病都不得参加接触食品工作。</w:t>
      </w:r>
    </w:p>
    <w:p>
      <w:pPr>
        <w:ind w:firstLine="315" w:firstLineChars="150"/>
        <w:rPr>
          <w:rFonts w:asciiTheme="minorEastAsia" w:hAnsiTheme="minorEastAsia"/>
          <w:szCs w:val="21"/>
        </w:rPr>
      </w:pPr>
      <w:r>
        <w:rPr>
          <w:rFonts w:hint="eastAsia" w:asciiTheme="minorEastAsia" w:hAnsiTheme="minorEastAsia"/>
          <w:szCs w:val="21"/>
        </w:rPr>
        <w:t>4)工作人员上班时应穿戴整洁的工作衣帽，并保持个人卫生。</w:t>
      </w:r>
    </w:p>
    <w:p>
      <w:pPr>
        <w:ind w:firstLine="315" w:firstLineChars="150"/>
        <w:rPr>
          <w:rFonts w:asciiTheme="minorEastAsia" w:hAnsiTheme="minorEastAsia"/>
          <w:szCs w:val="21"/>
        </w:rPr>
      </w:pPr>
      <w:r>
        <w:rPr>
          <w:rFonts w:hint="eastAsia" w:asciiTheme="minorEastAsia" w:hAnsiTheme="minorEastAsia"/>
          <w:szCs w:val="21"/>
        </w:rPr>
        <w:t>5)做好食堂内外环境卫生，做到每餐一打扫，每天一清洗。</w:t>
      </w:r>
    </w:p>
    <w:p>
      <w:pPr>
        <w:ind w:firstLine="315" w:firstLineChars="150"/>
        <w:rPr>
          <w:rFonts w:asciiTheme="minorEastAsia" w:hAnsiTheme="minorEastAsia"/>
          <w:szCs w:val="21"/>
        </w:rPr>
      </w:pPr>
      <w:r>
        <w:rPr>
          <w:rFonts w:hint="eastAsia" w:asciiTheme="minorEastAsia" w:hAnsiTheme="minorEastAsia"/>
          <w:szCs w:val="21"/>
        </w:rPr>
        <w:t>6)食用工具每天用后应洗净，保持洁净，食（用）具做到“一刮、二洗、三过清、四消毒、五保洁。”</w:t>
      </w:r>
    </w:p>
    <w:p>
      <w:pPr>
        <w:ind w:firstLine="315" w:firstLineChars="150"/>
        <w:rPr>
          <w:rFonts w:asciiTheme="minorEastAsia" w:hAnsiTheme="minorEastAsia"/>
          <w:szCs w:val="21"/>
        </w:rPr>
      </w:pPr>
      <w:r>
        <w:rPr>
          <w:rFonts w:hint="eastAsia" w:asciiTheme="minorEastAsia" w:hAnsiTheme="minorEastAsia"/>
          <w:szCs w:val="21"/>
        </w:rPr>
        <w:t>7)不购进、不加工、不出售腐烂变质、有毒、有害、超过保质期的食物。</w:t>
      </w:r>
    </w:p>
    <w:p>
      <w:pPr>
        <w:ind w:firstLine="315" w:firstLineChars="150"/>
        <w:rPr>
          <w:rFonts w:asciiTheme="minorEastAsia" w:hAnsiTheme="minorEastAsia"/>
          <w:szCs w:val="21"/>
        </w:rPr>
      </w:pPr>
      <w:r>
        <w:rPr>
          <w:rFonts w:hint="eastAsia" w:asciiTheme="minorEastAsia" w:hAnsiTheme="minorEastAsia"/>
          <w:szCs w:val="21"/>
        </w:rPr>
        <w:t>8)生、熟食品、成品、半成品的加工和存放要有明显标记，分类存放，不得混放。</w:t>
      </w:r>
    </w:p>
    <w:p>
      <w:pPr>
        <w:ind w:firstLine="315" w:firstLineChars="150"/>
        <w:rPr>
          <w:rFonts w:asciiTheme="minorEastAsia" w:hAnsiTheme="minorEastAsia"/>
          <w:szCs w:val="21"/>
        </w:rPr>
      </w:pPr>
      <w:r>
        <w:rPr>
          <w:rFonts w:hint="eastAsia" w:asciiTheme="minorEastAsia" w:hAnsiTheme="minorEastAsia"/>
          <w:szCs w:val="21"/>
        </w:rPr>
        <w:t>9)搞好操作间卫生，冷菜配餐所用工具必须专用，并有明显标志。</w:t>
      </w:r>
    </w:p>
    <w:p>
      <w:pPr>
        <w:ind w:firstLine="315" w:firstLineChars="150"/>
        <w:rPr>
          <w:rFonts w:asciiTheme="minorEastAsia" w:hAnsiTheme="minorEastAsia"/>
          <w:szCs w:val="21"/>
        </w:rPr>
      </w:pPr>
      <w:r>
        <w:rPr>
          <w:rFonts w:hint="eastAsia" w:asciiTheme="minorEastAsia" w:hAnsiTheme="minorEastAsia"/>
          <w:szCs w:val="21"/>
        </w:rPr>
        <w:t>10)保持仓库整洁，食品应做到有分类、有标志，离地离墙保管。</w:t>
      </w:r>
    </w:p>
    <w:p>
      <w:pPr>
        <w:ind w:firstLine="315" w:firstLineChars="150"/>
        <w:rPr>
          <w:rFonts w:asciiTheme="minorEastAsia" w:hAnsiTheme="minorEastAsia"/>
          <w:szCs w:val="21"/>
        </w:rPr>
      </w:pPr>
      <w:r>
        <w:rPr>
          <w:rFonts w:hint="eastAsia" w:asciiTheme="minorEastAsia" w:hAnsiTheme="minorEastAsia"/>
          <w:szCs w:val="21"/>
        </w:rPr>
        <w:t>11)食堂要有防蝇、防鼠等措施，严防生物污染。</w:t>
      </w:r>
    </w:p>
    <w:p>
      <w:pPr>
        <w:ind w:firstLine="315" w:firstLineChars="150"/>
        <w:rPr>
          <w:rFonts w:asciiTheme="minorEastAsia" w:hAnsiTheme="minorEastAsia"/>
          <w:szCs w:val="21"/>
        </w:rPr>
      </w:pPr>
      <w:r>
        <w:rPr>
          <w:rFonts w:hint="eastAsia" w:asciiTheme="minorEastAsia" w:hAnsiTheme="minorEastAsia"/>
          <w:szCs w:val="21"/>
        </w:rPr>
        <w:t>12)及时做好垃圾分类及清理，垃圾分类桶应有盖和标记，搞好“三防”工作。</w:t>
      </w:r>
    </w:p>
    <w:p>
      <w:pPr>
        <w:ind w:firstLine="315" w:firstLineChars="150"/>
        <w:rPr>
          <w:rFonts w:asciiTheme="minorEastAsia" w:hAnsiTheme="minorEastAsia"/>
          <w:szCs w:val="21"/>
        </w:rPr>
      </w:pPr>
      <w:r>
        <w:rPr>
          <w:rFonts w:hint="eastAsia" w:asciiTheme="minorEastAsia" w:hAnsiTheme="minorEastAsia"/>
          <w:szCs w:val="21"/>
        </w:rPr>
        <w:t>13)要求食堂管理人员每日自查一次，医院定期及不定期进行抽检，发现问题及时上报和处理。</w:t>
      </w:r>
    </w:p>
    <w:p>
      <w:pPr>
        <w:ind w:firstLine="315" w:firstLineChars="150"/>
        <w:rPr>
          <w:rFonts w:asciiTheme="minorEastAsia" w:hAnsiTheme="minorEastAsia"/>
          <w:szCs w:val="21"/>
        </w:rPr>
      </w:pPr>
      <w:r>
        <w:rPr>
          <w:rFonts w:hint="eastAsia" w:asciiTheme="minorEastAsia" w:hAnsiTheme="minorEastAsia"/>
          <w:szCs w:val="21"/>
        </w:rPr>
        <w:tab/>
      </w:r>
      <w:r>
        <w:rPr>
          <w:rFonts w:hint="eastAsia" w:asciiTheme="minorEastAsia" w:hAnsiTheme="minorEastAsia"/>
          <w:b/>
          <w:bCs/>
          <w:szCs w:val="21"/>
        </w:rPr>
        <w:t>（四）食堂场地及设备使用和维护要求</w:t>
      </w:r>
    </w:p>
    <w:p>
      <w:pPr>
        <w:ind w:firstLine="315" w:firstLineChars="150"/>
        <w:rPr>
          <w:rFonts w:asciiTheme="minorEastAsia" w:hAnsiTheme="minorEastAsia"/>
          <w:szCs w:val="21"/>
        </w:rPr>
      </w:pPr>
      <w:r>
        <w:rPr>
          <w:rFonts w:hint="eastAsia" w:asciiTheme="minorEastAsia" w:hAnsiTheme="minorEastAsia"/>
          <w:szCs w:val="21"/>
        </w:rPr>
        <w:t>1.场地用途为餐饮加工和销售服务。除双方另有约定外，乙方不得任意改变场地用途，或租赁给第三方使用。同时，未经甲方同意，乙方不得擅自对房屋、设施做任何改动（包括在墙上打洞）。</w:t>
      </w:r>
    </w:p>
    <w:p>
      <w:pPr>
        <w:ind w:firstLine="315" w:firstLineChars="150"/>
        <w:rPr>
          <w:rFonts w:asciiTheme="minorEastAsia" w:hAnsiTheme="minorEastAsia"/>
          <w:szCs w:val="21"/>
        </w:rPr>
      </w:pPr>
      <w:r>
        <w:rPr>
          <w:rFonts w:hint="eastAsia" w:asciiTheme="minorEastAsia" w:hAnsiTheme="minorEastAsia"/>
          <w:szCs w:val="21"/>
        </w:rPr>
        <w:t>2.乙方在经营期间违反合同约定场地使用规定，不配合管理或给甲方造成负面影响情节严重经查属实的，甲方有权立即解除合同并要求乙方赔偿相关损失。</w:t>
      </w:r>
    </w:p>
    <w:p>
      <w:pPr>
        <w:ind w:firstLine="315" w:firstLineChars="150"/>
        <w:rPr>
          <w:rFonts w:asciiTheme="minorEastAsia" w:hAnsiTheme="minorEastAsia"/>
          <w:szCs w:val="21"/>
        </w:rPr>
      </w:pPr>
      <w:r>
        <w:rPr>
          <w:rFonts w:hint="eastAsia" w:asciiTheme="minorEastAsia" w:hAnsiTheme="minorEastAsia"/>
          <w:szCs w:val="21"/>
        </w:rPr>
        <w:t>3、饭堂设施设备</w:t>
      </w:r>
    </w:p>
    <w:p>
      <w:pPr>
        <w:ind w:firstLine="315" w:firstLineChars="150"/>
        <w:rPr>
          <w:rFonts w:asciiTheme="minorEastAsia" w:hAnsiTheme="minorEastAsia"/>
          <w:szCs w:val="21"/>
        </w:rPr>
      </w:pPr>
      <w:r>
        <w:rPr>
          <w:rFonts w:hint="eastAsia" w:asciiTheme="minorEastAsia" w:hAnsiTheme="minorEastAsia"/>
          <w:szCs w:val="21"/>
        </w:rPr>
        <w:t>1)甲方将饭堂内原有的厨房、餐厅设备提供给乙方使用、也可根据医院需要增加设备。</w:t>
      </w:r>
    </w:p>
    <w:p>
      <w:pPr>
        <w:ind w:firstLine="315" w:firstLineChars="150"/>
        <w:rPr>
          <w:rFonts w:asciiTheme="minorEastAsia" w:hAnsiTheme="minorEastAsia"/>
          <w:szCs w:val="21"/>
        </w:rPr>
      </w:pPr>
      <w:r>
        <w:rPr>
          <w:rFonts w:hint="eastAsia" w:asciiTheme="minorEastAsia" w:hAnsiTheme="minorEastAsia"/>
          <w:szCs w:val="21"/>
        </w:rPr>
        <w:t>2)要按照甲方提供的厨房、餐厅设备清单，逐件核收，签字确认，乙方承担设备的维护及养护责任。</w:t>
      </w:r>
    </w:p>
    <w:p>
      <w:pPr>
        <w:ind w:firstLine="315" w:firstLineChars="150"/>
        <w:rPr>
          <w:rFonts w:asciiTheme="minorEastAsia" w:hAnsiTheme="minorEastAsia"/>
          <w:szCs w:val="21"/>
        </w:rPr>
      </w:pPr>
      <w:r>
        <w:rPr>
          <w:rFonts w:hint="eastAsia" w:asciiTheme="minorEastAsia" w:hAnsiTheme="minorEastAsia"/>
          <w:szCs w:val="21"/>
        </w:rPr>
        <w:t>3)乙方应对经营场所内的所有设施设备</w:t>
      </w:r>
      <w:r>
        <w:rPr>
          <w:rFonts w:hint="eastAsia" w:ascii="宋体" w:hAnsi="宋体" w:cs="宋体"/>
          <w:szCs w:val="21"/>
        </w:rPr>
        <w:t>（包含空调、照明、厨具等）</w:t>
      </w:r>
      <w:r>
        <w:rPr>
          <w:rFonts w:hint="eastAsia" w:asciiTheme="minorEastAsia" w:hAnsiTheme="minorEastAsia"/>
          <w:szCs w:val="21"/>
        </w:rPr>
        <w:t>进行定期维护和保养，其中对厨具设备必须每年进行不少于二次的检修和清理；抽排系统的风管每年不少于二次的疏通清洁；下水道保持通畅，每周不少于一次化油池的清理。室内燃气管道保护层必须每年翻新不少于一次，并由有资质的专业公司负责施工。合同期间所有设施设备的维修养护费用由乙方负责。</w:t>
      </w:r>
    </w:p>
    <w:p>
      <w:pPr>
        <w:ind w:firstLine="315" w:firstLineChars="150"/>
        <w:rPr>
          <w:rFonts w:asciiTheme="minorEastAsia" w:hAnsiTheme="minorEastAsia"/>
          <w:szCs w:val="21"/>
        </w:rPr>
      </w:pPr>
      <w:r>
        <w:rPr>
          <w:rFonts w:hint="eastAsia" w:asciiTheme="minorEastAsia" w:hAnsiTheme="minorEastAsia"/>
          <w:szCs w:val="21"/>
        </w:rPr>
        <w:t>4)合同期满或合同中途终止，要对资产进行清点移交，发现遗失或非正常损坏的，乙方要按甲方规定承担赔偿。</w:t>
      </w:r>
    </w:p>
    <w:p>
      <w:pPr>
        <w:ind w:firstLine="315" w:firstLineChars="150"/>
        <w:rPr>
          <w:rFonts w:asciiTheme="minorEastAsia" w:hAnsiTheme="minorEastAsia"/>
          <w:szCs w:val="21"/>
        </w:rPr>
      </w:pPr>
      <w:r>
        <w:rPr>
          <w:rFonts w:hint="eastAsia" w:asciiTheme="minorEastAsia" w:hAnsiTheme="minorEastAsia"/>
          <w:szCs w:val="21"/>
        </w:rPr>
        <w:t>5）合同期满或合同中途终止，乙方按合同要求投入的设施设备归甲方所有。</w:t>
      </w:r>
    </w:p>
    <w:p>
      <w:pPr>
        <w:ind w:firstLine="316" w:firstLineChars="150"/>
        <w:rPr>
          <w:rFonts w:asciiTheme="minorEastAsia" w:hAnsiTheme="minorEastAsia"/>
          <w:b/>
          <w:bCs/>
          <w:szCs w:val="21"/>
        </w:rPr>
      </w:pPr>
      <w:r>
        <w:rPr>
          <w:rFonts w:hint="eastAsia" w:asciiTheme="minorEastAsia" w:hAnsiTheme="minorEastAsia"/>
          <w:b/>
          <w:bCs/>
          <w:szCs w:val="21"/>
        </w:rPr>
        <w:t>（五）监督管理要求</w:t>
      </w:r>
    </w:p>
    <w:p>
      <w:pPr>
        <w:ind w:firstLine="315" w:firstLineChars="150"/>
        <w:rPr>
          <w:rFonts w:asciiTheme="minorEastAsia" w:hAnsiTheme="minorEastAsia"/>
          <w:szCs w:val="21"/>
        </w:rPr>
      </w:pPr>
      <w:r>
        <w:rPr>
          <w:rFonts w:hint="eastAsia" w:asciiTheme="minorEastAsia" w:hAnsiTheme="minorEastAsia"/>
          <w:szCs w:val="21"/>
        </w:rPr>
        <w:t>乙方须做好院内餐饮保障服务工作，接受甲方监督检查，不断提升员工和病患的满意度。</w:t>
      </w:r>
    </w:p>
    <w:p>
      <w:pPr>
        <w:ind w:firstLine="315" w:firstLineChars="150"/>
        <w:rPr>
          <w:rFonts w:asciiTheme="minorEastAsia" w:hAnsiTheme="minorEastAsia"/>
          <w:szCs w:val="21"/>
        </w:rPr>
      </w:pPr>
      <w:r>
        <w:rPr>
          <w:rFonts w:hint="eastAsia" w:asciiTheme="minorEastAsia" w:hAnsiTheme="minorEastAsia"/>
          <w:szCs w:val="21"/>
        </w:rPr>
        <w:t>1.</w:t>
      </w:r>
      <w:r>
        <w:rPr>
          <w:rFonts w:hint="eastAsia" w:asciiTheme="minorEastAsia" w:hAnsiTheme="minorEastAsia" w:eastAsiaTheme="minorEastAsia"/>
          <w:szCs w:val="21"/>
        </w:rPr>
        <w:t>医院饭堂</w:t>
      </w:r>
      <w:r>
        <w:rPr>
          <w:rFonts w:hint="eastAsia" w:asciiTheme="minorEastAsia" w:hAnsiTheme="minorEastAsia"/>
          <w:szCs w:val="21"/>
        </w:rPr>
        <w:t>满意度调查低于80分的，警告一次并扣罚20000元甲方应付餐费。每半年开展一次</w:t>
      </w:r>
      <w:r>
        <w:rPr>
          <w:rFonts w:asciiTheme="minorEastAsia" w:hAnsiTheme="minorEastAsia" w:eastAsiaTheme="minorEastAsia"/>
          <w:szCs w:val="21"/>
        </w:rPr>
        <w:t>医院饭堂满意度调查</w:t>
      </w:r>
      <w:r>
        <w:rPr>
          <w:rFonts w:hint="eastAsia" w:asciiTheme="minorEastAsia" w:hAnsiTheme="minorEastAsia"/>
          <w:szCs w:val="21"/>
        </w:rPr>
        <w:t>并结合上级委托第三方满意度调查结果，连续两</w:t>
      </w:r>
      <w:r>
        <w:rPr>
          <w:rFonts w:asciiTheme="minorEastAsia" w:hAnsiTheme="minorEastAsia"/>
          <w:szCs w:val="21"/>
        </w:rPr>
        <w:t>次</w:t>
      </w:r>
      <w:r>
        <w:rPr>
          <w:rFonts w:hint="eastAsia" w:asciiTheme="minorEastAsia" w:hAnsiTheme="minorEastAsia"/>
          <w:szCs w:val="21"/>
        </w:rPr>
        <w:t>满意度综合评分低于80分，并有低于70分情况的，无条件提前结束合同。</w:t>
      </w:r>
    </w:p>
    <w:p>
      <w:pPr>
        <w:ind w:firstLine="315" w:firstLineChars="150"/>
        <w:rPr>
          <w:rFonts w:asciiTheme="minorEastAsia" w:hAnsiTheme="minorEastAsia"/>
          <w:szCs w:val="21"/>
        </w:rPr>
      </w:pPr>
      <w:r>
        <w:rPr>
          <w:rFonts w:hint="eastAsia" w:asciiTheme="minorEastAsia" w:hAnsiTheme="minorEastAsia"/>
          <w:szCs w:val="21"/>
        </w:rPr>
        <w:t>2.每月</w:t>
      </w:r>
      <w:r>
        <w:rPr>
          <w:rFonts w:hint="eastAsia" w:asciiTheme="minorEastAsia" w:hAnsiTheme="minorEastAsia" w:eastAsiaTheme="minorEastAsia"/>
          <w:szCs w:val="21"/>
        </w:rPr>
        <w:t>开展食堂管理月度服务质量考评</w:t>
      </w:r>
      <w:r>
        <w:rPr>
          <w:rFonts w:hint="eastAsia" w:asciiTheme="minorEastAsia" w:hAnsiTheme="minorEastAsia"/>
          <w:szCs w:val="21"/>
        </w:rPr>
        <w:t>，考评得分低于80分的，每低于1分扣罚500元甲方当月应付餐费，＞95分每上升1分奖500元；连续3个月低于80分的无条件终止合同。</w:t>
      </w:r>
    </w:p>
    <w:p>
      <w:pPr>
        <w:ind w:firstLine="315" w:firstLineChars="150"/>
        <w:rPr>
          <w:rFonts w:asciiTheme="minorEastAsia" w:hAnsiTheme="minorEastAsia"/>
          <w:szCs w:val="21"/>
        </w:rPr>
      </w:pPr>
      <w:r>
        <w:rPr>
          <w:rFonts w:hint="eastAsia" w:asciiTheme="minorEastAsia" w:hAnsiTheme="minorEastAsia"/>
          <w:szCs w:val="21"/>
        </w:rPr>
        <w:t>3.经营风险保证金：乙方须在签订合同后5个工作日内，向甲方缴交经营风险保证金20万元（人民币）。</w:t>
      </w:r>
      <w:r>
        <w:rPr>
          <w:rFonts w:hint="eastAsia" w:asciiTheme="minorEastAsia" w:hAnsiTheme="minorEastAsia" w:eastAsiaTheme="minorEastAsia"/>
          <w:szCs w:val="21"/>
        </w:rPr>
        <w:t>运营服务</w:t>
      </w:r>
      <w:r>
        <w:rPr>
          <w:rFonts w:hint="eastAsia" w:asciiTheme="minorEastAsia" w:hAnsiTheme="minorEastAsia"/>
          <w:szCs w:val="21"/>
        </w:rPr>
        <w:t>期间，如乙方有违约行为，甲方有权使用经营风险保证金进行赔偿或处罚，经营风险保证金被使用后,乙方必须在两个月内补齐经营风险保证金。</w:t>
      </w:r>
      <w:r>
        <w:rPr>
          <w:rFonts w:hint="eastAsia" w:asciiTheme="minorEastAsia" w:hAnsiTheme="minorEastAsia" w:eastAsiaTheme="minorEastAsia"/>
          <w:szCs w:val="21"/>
        </w:rPr>
        <w:t>运营服务</w:t>
      </w:r>
      <w:r>
        <w:rPr>
          <w:rFonts w:hint="eastAsia" w:asciiTheme="minorEastAsia" w:hAnsiTheme="minorEastAsia"/>
          <w:szCs w:val="21"/>
        </w:rPr>
        <w:t>期满后，乙方如无违约，无食物中毒及其他食品安全问题等民事赔偿，在付清运营期间所产生的乙方应支付的费用（包括非正常损耗、损坏的厨具和食堂设施设备维修费）、资产盘点移交清楚后，甲方无条件将经营风险保证金（不计利息）退回乙方。由于乙方原因而提前终止合同的，必须提前两个月通知甲方,否则因此而造成甲方的一切损失由乙方负责,乙方无权要求返还经营风险保证金。</w:t>
      </w:r>
    </w:p>
    <w:p>
      <w:pPr>
        <w:ind w:firstLine="424" w:firstLineChars="201"/>
        <w:rPr>
          <w:rFonts w:asciiTheme="minorEastAsia" w:hAnsiTheme="minorEastAsia" w:eastAsiaTheme="minorEastAsia"/>
          <w:szCs w:val="21"/>
        </w:rPr>
      </w:pPr>
      <w:r>
        <w:rPr>
          <w:rFonts w:hint="eastAsia" w:asciiTheme="minorEastAsia" w:hAnsiTheme="minorEastAsia" w:eastAsiaTheme="minorEastAsia"/>
          <w:b/>
          <w:szCs w:val="21"/>
        </w:rPr>
        <w:t>（六）餐费付款说明</w:t>
      </w:r>
      <w:r>
        <w:rPr>
          <w:rFonts w:hint="eastAsia" w:asciiTheme="minorEastAsia" w:hAnsiTheme="minorEastAsia" w:eastAsiaTheme="minorEastAsia"/>
          <w:szCs w:val="21"/>
        </w:rPr>
        <w:t>：根据甲方财务支付流程支付。</w:t>
      </w:r>
    </w:p>
    <w:p>
      <w:pPr>
        <w:ind w:firstLine="422" w:firstLineChars="200"/>
        <w:jc w:val="left"/>
        <w:rPr>
          <w:rFonts w:ascii="宋体" w:hAnsi="宋体" w:cs="Calibri"/>
          <w:szCs w:val="21"/>
        </w:rPr>
      </w:pPr>
      <w:r>
        <w:rPr>
          <w:rFonts w:hint="eastAsia" w:ascii="宋体" w:hAnsi="宋体"/>
          <w:b/>
          <w:szCs w:val="21"/>
        </w:rPr>
        <w:t>五、赔偿损失和违约责任</w:t>
      </w:r>
    </w:p>
    <w:p>
      <w:pPr>
        <w:ind w:firstLine="420" w:firstLineChars="200"/>
        <w:rPr>
          <w:rFonts w:ascii="宋体" w:hAnsi="宋体" w:cs="宋体"/>
          <w:kern w:val="0"/>
          <w:szCs w:val="21"/>
        </w:rPr>
      </w:pPr>
      <w:r>
        <w:rPr>
          <w:rFonts w:hint="eastAsia" w:ascii="宋体" w:hAnsi="宋体" w:cs="宋体"/>
          <w:kern w:val="0"/>
          <w:szCs w:val="21"/>
        </w:rPr>
        <w:t>（一）乙方交付的货物的数量、品种、规格或者质量等不符合招标文件、投标文件或本合同规定的，</w:t>
      </w:r>
      <w:r>
        <w:rPr>
          <w:rFonts w:hint="eastAsia" w:ascii="宋体" w:hAnsi="宋体"/>
          <w:szCs w:val="21"/>
        </w:rPr>
        <w:t>甲方</w:t>
      </w:r>
      <w:r>
        <w:rPr>
          <w:rFonts w:hint="eastAsia" w:ascii="宋体" w:hAnsi="宋体" w:cs="宋体"/>
          <w:kern w:val="0"/>
          <w:szCs w:val="21"/>
        </w:rPr>
        <w:t>有权拒收并可单方面终止合同，由此造成</w:t>
      </w:r>
      <w:r>
        <w:rPr>
          <w:rFonts w:hint="eastAsia" w:ascii="宋体" w:hAnsi="宋体"/>
          <w:szCs w:val="21"/>
        </w:rPr>
        <w:t>甲方</w:t>
      </w:r>
      <w:r>
        <w:rPr>
          <w:rFonts w:hint="eastAsia" w:ascii="宋体" w:hAnsi="宋体" w:cs="宋体"/>
          <w:kern w:val="0"/>
          <w:szCs w:val="21"/>
        </w:rPr>
        <w:t>经济损失的由乙方承担。</w:t>
      </w:r>
    </w:p>
    <w:p>
      <w:pPr>
        <w:ind w:firstLine="420" w:firstLineChars="200"/>
        <w:rPr>
          <w:rFonts w:ascii="宋体" w:hAnsi="宋体" w:cs="宋体"/>
          <w:kern w:val="0"/>
          <w:szCs w:val="21"/>
        </w:rPr>
      </w:pPr>
      <w:r>
        <w:rPr>
          <w:rFonts w:hint="eastAsia" w:ascii="宋体" w:hAnsi="宋体" w:cs="宋体"/>
          <w:kern w:val="0"/>
          <w:szCs w:val="21"/>
        </w:rPr>
        <w:t>（二）乙方未能按本合同规定的供货/服务期限履行合同，从逾期之日起每日按本合同总价3‰的数额向</w:t>
      </w:r>
      <w:r>
        <w:rPr>
          <w:rFonts w:hint="eastAsia" w:ascii="宋体" w:hAnsi="宋体"/>
          <w:szCs w:val="21"/>
        </w:rPr>
        <w:t>甲方</w:t>
      </w:r>
      <w:r>
        <w:rPr>
          <w:rFonts w:hint="eastAsia" w:ascii="宋体" w:hAnsi="宋体" w:cs="宋体"/>
          <w:kern w:val="0"/>
          <w:szCs w:val="21"/>
        </w:rPr>
        <w:t>支付违约金；逾期半个以月上的，</w:t>
      </w:r>
      <w:r>
        <w:rPr>
          <w:rFonts w:hint="eastAsia" w:ascii="宋体" w:hAnsi="宋体"/>
          <w:szCs w:val="21"/>
        </w:rPr>
        <w:t>甲方</w:t>
      </w:r>
      <w:r>
        <w:rPr>
          <w:rFonts w:hint="eastAsia" w:ascii="宋体" w:hAnsi="宋体" w:cs="宋体"/>
          <w:kern w:val="0"/>
          <w:szCs w:val="21"/>
        </w:rPr>
        <w:t>有权单方面终止合同，由此造成</w:t>
      </w:r>
      <w:r>
        <w:rPr>
          <w:rFonts w:hint="eastAsia" w:ascii="宋体" w:hAnsi="宋体"/>
          <w:szCs w:val="21"/>
        </w:rPr>
        <w:t>甲方</w:t>
      </w:r>
      <w:r>
        <w:rPr>
          <w:rFonts w:hint="eastAsia" w:ascii="宋体" w:hAnsi="宋体" w:cs="宋体"/>
          <w:kern w:val="0"/>
          <w:szCs w:val="21"/>
        </w:rPr>
        <w:t>经济损失的由乙方承担。</w:t>
      </w:r>
    </w:p>
    <w:p>
      <w:pPr>
        <w:ind w:firstLine="420" w:firstLineChars="200"/>
        <w:rPr>
          <w:rFonts w:ascii="宋体" w:hAnsi="宋体" w:cs="宋体"/>
          <w:szCs w:val="21"/>
        </w:rPr>
      </w:pPr>
      <w:r>
        <w:rPr>
          <w:rFonts w:hint="eastAsia" w:ascii="宋体" w:hAnsi="宋体" w:cs="宋体"/>
          <w:kern w:val="0"/>
          <w:szCs w:val="21"/>
        </w:rPr>
        <w:t>（三）违约责任按《中华人民共和国民法典》处理。</w:t>
      </w:r>
    </w:p>
    <w:p>
      <w:pPr>
        <w:ind w:firstLine="422" w:firstLineChars="200"/>
        <w:rPr>
          <w:rFonts w:ascii="宋体" w:hAnsi="宋体" w:cs="宋体"/>
          <w:b/>
          <w:szCs w:val="21"/>
        </w:rPr>
      </w:pPr>
      <w:r>
        <w:rPr>
          <w:rFonts w:hint="eastAsia" w:ascii="宋体" w:hAnsi="宋体"/>
          <w:b/>
          <w:szCs w:val="21"/>
        </w:rPr>
        <w:t>六、不可抗力</w:t>
      </w:r>
    </w:p>
    <w:p>
      <w:pPr>
        <w:pStyle w:val="22"/>
        <w:ind w:firstLine="420" w:firstLineChars="200"/>
        <w:rPr>
          <w:rFonts w:hAnsi="宋体" w:cs="宋体"/>
          <w:sz w:val="21"/>
          <w:szCs w:val="21"/>
        </w:rPr>
      </w:pPr>
      <w:r>
        <w:rPr>
          <w:rFonts w:hint="eastAsia" w:hAnsi="宋体" w:cs="宋体"/>
          <w:sz w:val="21"/>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tabs>
          <w:tab w:val="left" w:pos="1947"/>
          <w:tab w:val="left" w:pos="4318"/>
          <w:tab w:val="left" w:pos="6042"/>
        </w:tabs>
        <w:ind w:firstLine="422" w:firstLineChars="200"/>
        <w:jc w:val="left"/>
        <w:rPr>
          <w:rFonts w:ascii="宋体" w:hAnsi="宋体"/>
          <w:b/>
          <w:bCs/>
          <w:szCs w:val="21"/>
        </w:rPr>
      </w:pPr>
      <w:r>
        <w:rPr>
          <w:rFonts w:hint="eastAsia" w:ascii="宋体" w:hAnsi="宋体"/>
          <w:b/>
          <w:bCs/>
          <w:szCs w:val="21"/>
        </w:rPr>
        <w:t>七、争议的解决</w:t>
      </w:r>
    </w:p>
    <w:p>
      <w:pPr>
        <w:tabs>
          <w:tab w:val="left" w:pos="1947"/>
          <w:tab w:val="left" w:pos="4318"/>
          <w:tab w:val="left" w:pos="6042"/>
        </w:tabs>
        <w:ind w:firstLine="420" w:firstLineChars="200"/>
        <w:jc w:val="left"/>
        <w:rPr>
          <w:rFonts w:ascii="宋体" w:hAnsi="宋体"/>
          <w:szCs w:val="21"/>
        </w:rPr>
      </w:pPr>
      <w:r>
        <w:rPr>
          <w:rFonts w:hint="eastAsia" w:ascii="宋体" w:hAnsi="宋体"/>
          <w:szCs w:val="21"/>
        </w:rPr>
        <w:t>合同执行过程中双方如有争议，应友好协商解决，协商不成，双方同意选择以下第（）项方式解决：</w:t>
      </w:r>
    </w:p>
    <w:p>
      <w:pPr>
        <w:tabs>
          <w:tab w:val="left" w:pos="1947"/>
          <w:tab w:val="left" w:pos="4318"/>
          <w:tab w:val="left" w:pos="6042"/>
        </w:tabs>
        <w:ind w:firstLine="420" w:firstLineChars="200"/>
        <w:jc w:val="left"/>
        <w:rPr>
          <w:rFonts w:ascii="宋体" w:hAnsi="宋体"/>
          <w:szCs w:val="21"/>
        </w:rPr>
      </w:pPr>
      <w:r>
        <w:rPr>
          <w:rFonts w:hint="eastAsia" w:ascii="宋体" w:hAnsi="宋体" w:cs="宋体"/>
          <w:kern w:val="0"/>
          <w:szCs w:val="21"/>
        </w:rPr>
        <w:t>（一）</w:t>
      </w:r>
      <w:r>
        <w:rPr>
          <w:rFonts w:hint="eastAsia" w:ascii="宋体" w:hAnsi="宋体"/>
          <w:szCs w:val="21"/>
        </w:rPr>
        <w:t>提交中国广州仲裁委员会仲裁</w:t>
      </w:r>
    </w:p>
    <w:p>
      <w:pPr>
        <w:tabs>
          <w:tab w:val="left" w:pos="1947"/>
          <w:tab w:val="left" w:pos="4318"/>
          <w:tab w:val="left" w:pos="6042"/>
        </w:tabs>
        <w:ind w:firstLine="420" w:firstLineChars="200"/>
        <w:jc w:val="left"/>
        <w:rPr>
          <w:rFonts w:ascii="宋体" w:hAnsi="宋体"/>
          <w:szCs w:val="21"/>
        </w:rPr>
      </w:pPr>
      <w:r>
        <w:rPr>
          <w:rFonts w:hint="eastAsia" w:ascii="宋体" w:hAnsi="宋体" w:cs="宋体"/>
          <w:kern w:val="0"/>
          <w:szCs w:val="21"/>
        </w:rPr>
        <w:t>（二）</w:t>
      </w:r>
      <w:r>
        <w:rPr>
          <w:rFonts w:hint="eastAsia" w:ascii="宋体" w:hAnsi="宋体"/>
          <w:szCs w:val="21"/>
        </w:rPr>
        <w:t>向甲方所在地人民法院提出诉讼。</w:t>
      </w:r>
    </w:p>
    <w:p>
      <w:pPr>
        <w:tabs>
          <w:tab w:val="left" w:pos="851"/>
        </w:tabs>
        <w:ind w:left="426"/>
        <w:rPr>
          <w:rFonts w:ascii="宋体" w:hAnsi="宋体"/>
          <w:b/>
          <w:szCs w:val="21"/>
        </w:rPr>
      </w:pPr>
      <w:r>
        <w:rPr>
          <w:rFonts w:hint="eastAsia" w:ascii="宋体" w:hAnsi="宋体"/>
          <w:b/>
          <w:szCs w:val="21"/>
        </w:rPr>
        <w:t>八、税费</w:t>
      </w:r>
    </w:p>
    <w:p>
      <w:pPr>
        <w:tabs>
          <w:tab w:val="left" w:pos="851"/>
        </w:tabs>
        <w:ind w:left="426"/>
        <w:rPr>
          <w:rFonts w:ascii="宋体" w:hAnsi="宋体"/>
          <w:b/>
          <w:szCs w:val="21"/>
        </w:rPr>
      </w:pPr>
      <w:r>
        <w:rPr>
          <w:rFonts w:hint="eastAsia" w:ascii="宋体" w:hAnsi="宋体"/>
          <w:szCs w:val="21"/>
        </w:rPr>
        <w:t>在中国境内、外发生的与本合同执行有关的一切税费均由乙方负担。</w:t>
      </w:r>
    </w:p>
    <w:p>
      <w:pPr>
        <w:tabs>
          <w:tab w:val="left" w:pos="851"/>
        </w:tabs>
        <w:ind w:left="426"/>
        <w:rPr>
          <w:rFonts w:ascii="宋体" w:hAnsi="宋体"/>
          <w:b/>
          <w:szCs w:val="21"/>
        </w:rPr>
      </w:pPr>
      <w:r>
        <w:rPr>
          <w:rFonts w:hint="eastAsia" w:ascii="宋体" w:hAnsi="宋体"/>
          <w:b/>
          <w:szCs w:val="21"/>
        </w:rPr>
        <w:t xml:space="preserve">九、其它 </w:t>
      </w:r>
    </w:p>
    <w:p>
      <w:pPr>
        <w:tabs>
          <w:tab w:val="left" w:pos="1947"/>
          <w:tab w:val="left" w:pos="4318"/>
          <w:tab w:val="left" w:pos="6042"/>
        </w:tabs>
        <w:ind w:firstLine="420" w:firstLineChars="200"/>
        <w:jc w:val="left"/>
        <w:rPr>
          <w:rFonts w:ascii="宋体" w:hAnsi="宋体"/>
          <w:szCs w:val="21"/>
        </w:rPr>
      </w:pPr>
      <w:r>
        <w:rPr>
          <w:rFonts w:hint="eastAsia" w:ascii="宋体" w:hAnsi="宋体"/>
          <w:szCs w:val="21"/>
        </w:rPr>
        <w:t>（一）本合同所有附件、招标文件、投标文件、中标通知书均为合同的有效组成部分，与本合同具有同等法律效力。</w:t>
      </w:r>
    </w:p>
    <w:p>
      <w:pPr>
        <w:tabs>
          <w:tab w:val="left" w:pos="1947"/>
          <w:tab w:val="left" w:pos="4318"/>
          <w:tab w:val="left" w:pos="6042"/>
        </w:tabs>
        <w:ind w:firstLine="420" w:firstLineChars="200"/>
        <w:jc w:val="left"/>
        <w:rPr>
          <w:rFonts w:ascii="宋体" w:hAnsi="宋体"/>
          <w:szCs w:val="21"/>
        </w:rPr>
      </w:pPr>
      <w:r>
        <w:rPr>
          <w:rFonts w:hint="eastAsia" w:ascii="宋体" w:hAnsi="宋体"/>
          <w:szCs w:val="21"/>
        </w:rPr>
        <w:t>（二）在执行本合同的过程中，所有经双方签署确认的文件（包括会议纪要、补充协议、往来信函）即成为本合同的有效组成部分。</w:t>
      </w:r>
    </w:p>
    <w:p>
      <w:pPr>
        <w:tabs>
          <w:tab w:val="left" w:pos="1947"/>
          <w:tab w:val="left" w:pos="4318"/>
          <w:tab w:val="left" w:pos="6042"/>
        </w:tabs>
        <w:ind w:firstLine="420" w:firstLineChars="200"/>
        <w:jc w:val="left"/>
        <w:rPr>
          <w:rFonts w:ascii="宋体" w:hAnsi="宋体"/>
          <w:szCs w:val="21"/>
        </w:rPr>
      </w:pPr>
      <w:r>
        <w:rPr>
          <w:rFonts w:hint="eastAsia" w:ascii="宋体" w:hAnsi="宋体"/>
          <w:szCs w:val="21"/>
        </w:rPr>
        <w:t>（三）本合同未尽事宜，由甲乙双方协商解决，另行签订补充协议或合同附件，补充协议与本合同具有同等法律效力。</w:t>
      </w:r>
    </w:p>
    <w:p>
      <w:pPr>
        <w:tabs>
          <w:tab w:val="left" w:pos="1947"/>
          <w:tab w:val="left" w:pos="4318"/>
          <w:tab w:val="left" w:pos="6042"/>
        </w:tabs>
        <w:ind w:firstLine="420" w:firstLineChars="200"/>
        <w:jc w:val="left"/>
        <w:rPr>
          <w:rFonts w:ascii="宋体" w:hAnsi="宋体"/>
          <w:szCs w:val="21"/>
        </w:rPr>
      </w:pPr>
      <w:r>
        <w:rPr>
          <w:rFonts w:hint="eastAsia" w:ascii="宋体" w:hAnsi="宋体"/>
          <w:szCs w:val="21"/>
        </w:rPr>
        <w:t>（四）在合同执行过程中，如遇未尽事宜，可由甲乙双方协商解决，协商不成，可向甲方所在地人民法院提起诉讼。</w:t>
      </w:r>
    </w:p>
    <w:p>
      <w:pPr>
        <w:tabs>
          <w:tab w:val="left" w:pos="851"/>
        </w:tabs>
        <w:ind w:left="426"/>
        <w:rPr>
          <w:rFonts w:ascii="宋体" w:hAnsi="宋体"/>
          <w:b/>
          <w:szCs w:val="21"/>
        </w:rPr>
      </w:pPr>
      <w:r>
        <w:rPr>
          <w:rFonts w:hint="eastAsia" w:ascii="宋体" w:hAnsi="宋体"/>
          <w:b/>
          <w:szCs w:val="21"/>
        </w:rPr>
        <w:t>十、合同生效</w:t>
      </w:r>
    </w:p>
    <w:p>
      <w:pPr>
        <w:tabs>
          <w:tab w:val="left" w:pos="851"/>
        </w:tabs>
        <w:ind w:left="851" w:hanging="425"/>
        <w:rPr>
          <w:rFonts w:ascii="宋体" w:hAnsi="宋体"/>
          <w:szCs w:val="21"/>
        </w:rPr>
      </w:pPr>
      <w:r>
        <w:rPr>
          <w:rFonts w:hint="eastAsia" w:ascii="宋体" w:hAnsi="宋体" w:cs="宋体"/>
          <w:kern w:val="0"/>
          <w:szCs w:val="21"/>
        </w:rPr>
        <w:t>（一）</w:t>
      </w:r>
      <w:r>
        <w:rPr>
          <w:rFonts w:hint="eastAsia" w:ascii="宋体" w:hAnsi="宋体"/>
          <w:szCs w:val="21"/>
        </w:rPr>
        <w:t>本合同在甲乙双方法人代表或其授权代表签字盖章后生效。</w:t>
      </w:r>
    </w:p>
    <w:p>
      <w:pPr>
        <w:ind w:firstLine="420" w:firstLineChars="200"/>
        <w:rPr>
          <w:rFonts w:ascii="宋体" w:hAnsi="宋体"/>
          <w:szCs w:val="21"/>
        </w:rPr>
      </w:pPr>
      <w:r>
        <w:rPr>
          <w:rFonts w:hint="eastAsia" w:ascii="宋体" w:hAnsi="宋体" w:cs="宋体"/>
          <w:kern w:val="0"/>
          <w:szCs w:val="21"/>
        </w:rPr>
        <w:t>（二）</w:t>
      </w:r>
      <w:r>
        <w:rPr>
          <w:rFonts w:hint="eastAsia" w:ascii="宋体" w:hAnsi="宋体"/>
          <w:szCs w:val="21"/>
        </w:rPr>
        <w:t>合同一式</w:t>
      </w:r>
      <w:r>
        <w:rPr>
          <w:rFonts w:asciiTheme="minorEastAsia" w:hAnsiTheme="minorEastAsia"/>
          <w:szCs w:val="21"/>
        </w:rPr>
        <w:t>_____</w:t>
      </w:r>
      <w:r>
        <w:rPr>
          <w:rFonts w:hint="eastAsia" w:ascii="宋体" w:hAnsi="宋体"/>
          <w:szCs w:val="21"/>
        </w:rPr>
        <w:t>份，甲方执</w:t>
      </w:r>
      <w:r>
        <w:rPr>
          <w:rFonts w:asciiTheme="minorEastAsia" w:hAnsiTheme="minorEastAsia"/>
          <w:szCs w:val="21"/>
        </w:rPr>
        <w:t>_____</w:t>
      </w:r>
      <w:r>
        <w:rPr>
          <w:rFonts w:hint="eastAsia" w:ascii="宋体" w:hAnsi="宋体"/>
          <w:szCs w:val="21"/>
        </w:rPr>
        <w:t>份，乙方执</w:t>
      </w:r>
      <w:r>
        <w:rPr>
          <w:rFonts w:asciiTheme="minorEastAsia" w:hAnsiTheme="minorEastAsia"/>
          <w:szCs w:val="21"/>
        </w:rPr>
        <w:t>_____</w:t>
      </w:r>
      <w:r>
        <w:rPr>
          <w:rFonts w:hint="eastAsia" w:ascii="宋体" w:hAnsi="宋体"/>
          <w:szCs w:val="21"/>
        </w:rPr>
        <w:t>份。</w:t>
      </w:r>
    </w:p>
    <w:p>
      <w:pPr>
        <w:ind w:firstLine="420" w:firstLineChars="200"/>
        <w:rPr>
          <w:rFonts w:ascii="宋体" w:hAnsi="宋体"/>
          <w:szCs w:val="21"/>
        </w:rPr>
      </w:pPr>
    </w:p>
    <w:p>
      <w:pPr>
        <w:spacing w:line="240" w:lineRule="auto"/>
        <w:ind w:firstLine="420" w:firstLineChars="200"/>
        <w:rPr>
          <w:rFonts w:ascii="宋体" w:hAnsi="宋体"/>
          <w:szCs w:val="21"/>
        </w:rPr>
      </w:pPr>
    </w:p>
    <w:p>
      <w:pPr>
        <w:spacing w:line="240" w:lineRule="auto"/>
        <w:ind w:firstLine="420" w:firstLineChars="200"/>
        <w:rPr>
          <w:rFonts w:ascii="宋体" w:hAnsi="宋体"/>
          <w:szCs w:val="21"/>
        </w:rPr>
      </w:pPr>
    </w:p>
    <w:p>
      <w:pPr>
        <w:tabs>
          <w:tab w:val="left" w:pos="4395"/>
        </w:tabs>
        <w:spacing w:line="240" w:lineRule="auto"/>
        <w:ind w:firstLine="422" w:firstLineChars="200"/>
        <w:rPr>
          <w:rFonts w:ascii="宋体" w:hAnsi="宋体"/>
          <w:b/>
          <w:szCs w:val="21"/>
        </w:rPr>
      </w:pPr>
      <w:r>
        <w:rPr>
          <w:rFonts w:hint="eastAsia" w:ascii="宋体" w:hAnsi="宋体"/>
          <w:b/>
          <w:szCs w:val="21"/>
        </w:rPr>
        <w:t>甲方（盖章）：</w:t>
      </w:r>
      <w:r>
        <w:rPr>
          <w:rFonts w:hint="eastAsia" w:ascii="宋体" w:hAnsi="宋体"/>
          <w:b/>
          <w:szCs w:val="21"/>
        </w:rPr>
        <w:tab/>
      </w:r>
      <w:r>
        <w:rPr>
          <w:rFonts w:hint="eastAsia" w:ascii="宋体" w:hAnsi="宋体"/>
          <w:b/>
          <w:szCs w:val="21"/>
        </w:rPr>
        <w:t>乙方（盖章）：</w:t>
      </w:r>
    </w:p>
    <w:p>
      <w:pPr>
        <w:tabs>
          <w:tab w:val="left" w:pos="4395"/>
        </w:tabs>
        <w:spacing w:line="240" w:lineRule="auto"/>
        <w:ind w:firstLine="422" w:firstLineChars="200"/>
        <w:rPr>
          <w:rFonts w:ascii="宋体" w:hAnsi="宋体"/>
          <w:b/>
          <w:szCs w:val="21"/>
        </w:rPr>
      </w:pPr>
      <w:r>
        <w:rPr>
          <w:rFonts w:hint="eastAsia" w:ascii="宋体" w:hAnsi="宋体"/>
          <w:b/>
          <w:szCs w:val="21"/>
        </w:rPr>
        <w:t>代表：</w:t>
      </w:r>
      <w:r>
        <w:rPr>
          <w:rFonts w:hint="eastAsia" w:ascii="宋体" w:hAnsi="宋体"/>
          <w:b/>
          <w:szCs w:val="21"/>
        </w:rPr>
        <w:tab/>
      </w:r>
      <w:r>
        <w:rPr>
          <w:rFonts w:hint="eastAsia" w:ascii="宋体" w:hAnsi="宋体"/>
          <w:b/>
          <w:szCs w:val="21"/>
        </w:rPr>
        <w:t xml:space="preserve">代表： </w:t>
      </w:r>
    </w:p>
    <w:p>
      <w:pPr>
        <w:tabs>
          <w:tab w:val="left" w:pos="4395"/>
        </w:tabs>
        <w:spacing w:line="240" w:lineRule="auto"/>
        <w:ind w:firstLine="422" w:firstLineChars="200"/>
        <w:rPr>
          <w:rFonts w:ascii="宋体" w:hAnsi="宋体"/>
          <w:b/>
          <w:szCs w:val="21"/>
        </w:rPr>
      </w:pPr>
      <w:r>
        <w:rPr>
          <w:rFonts w:hint="eastAsia" w:ascii="宋体" w:hAnsi="宋体"/>
          <w:b/>
          <w:szCs w:val="21"/>
        </w:rPr>
        <w:t>签定日期：　　　</w:t>
      </w:r>
      <w:r>
        <w:rPr>
          <w:rFonts w:hint="eastAsia" w:ascii="宋体" w:hAnsi="宋体"/>
          <w:b/>
          <w:szCs w:val="21"/>
        </w:rPr>
        <w:tab/>
      </w:r>
      <w:r>
        <w:rPr>
          <w:rFonts w:hint="eastAsia" w:ascii="宋体" w:hAnsi="宋体"/>
          <w:b/>
          <w:szCs w:val="21"/>
        </w:rPr>
        <w:t>签定日期：</w:t>
      </w:r>
    </w:p>
    <w:p>
      <w:pPr>
        <w:tabs>
          <w:tab w:val="left" w:pos="4395"/>
        </w:tabs>
        <w:spacing w:line="240" w:lineRule="auto"/>
        <w:rPr>
          <w:rFonts w:ascii="宋体" w:hAnsi="宋体"/>
          <w:b/>
          <w:szCs w:val="21"/>
        </w:rPr>
      </w:pPr>
      <w:r>
        <w:rPr>
          <w:rFonts w:hint="eastAsia" w:ascii="宋体" w:hAnsi="宋体"/>
          <w:szCs w:val="21"/>
        </w:rPr>
        <w:tab/>
      </w:r>
      <w:r>
        <w:rPr>
          <w:rFonts w:hint="eastAsia" w:ascii="宋体" w:hAnsi="宋体"/>
          <w:b/>
          <w:szCs w:val="21"/>
        </w:rPr>
        <w:t>开户名称：</w:t>
      </w:r>
    </w:p>
    <w:p>
      <w:pPr>
        <w:tabs>
          <w:tab w:val="left" w:pos="4395"/>
        </w:tabs>
        <w:spacing w:line="240" w:lineRule="auto"/>
        <w:rPr>
          <w:rFonts w:ascii="宋体" w:hAnsi="宋体"/>
          <w:b/>
          <w:szCs w:val="21"/>
        </w:rPr>
      </w:pPr>
      <w:r>
        <w:rPr>
          <w:rFonts w:hint="eastAsia" w:ascii="宋体" w:hAnsi="宋体"/>
          <w:b/>
          <w:szCs w:val="21"/>
        </w:rPr>
        <w:tab/>
      </w:r>
      <w:r>
        <w:rPr>
          <w:rFonts w:hint="eastAsia" w:ascii="宋体" w:hAnsi="宋体"/>
          <w:b/>
          <w:szCs w:val="21"/>
        </w:rPr>
        <w:t>银行帐号：</w:t>
      </w:r>
    </w:p>
    <w:p>
      <w:pPr>
        <w:tabs>
          <w:tab w:val="left" w:pos="4395"/>
        </w:tabs>
        <w:spacing w:line="240" w:lineRule="auto"/>
        <w:rPr>
          <w:rFonts w:ascii="宋体" w:hAnsi="宋体"/>
          <w:b/>
          <w:szCs w:val="21"/>
        </w:rPr>
      </w:pPr>
      <w:r>
        <w:rPr>
          <w:rFonts w:hint="eastAsia" w:ascii="宋体" w:hAnsi="宋体"/>
          <w:b/>
          <w:szCs w:val="21"/>
        </w:rPr>
        <w:tab/>
      </w:r>
      <w:r>
        <w:rPr>
          <w:rFonts w:hint="eastAsia" w:ascii="宋体" w:hAnsi="宋体"/>
          <w:b/>
          <w:szCs w:val="21"/>
        </w:rPr>
        <w:t>开 户 行：</w:t>
      </w:r>
    </w:p>
    <w:p>
      <w:pPr>
        <w:tabs>
          <w:tab w:val="left" w:pos="4395"/>
        </w:tabs>
        <w:spacing w:line="240" w:lineRule="auto"/>
        <w:rPr>
          <w:rFonts w:ascii="宋体" w:hAnsi="宋体"/>
          <w:b/>
          <w:szCs w:val="21"/>
        </w:rPr>
      </w:pPr>
    </w:p>
    <w:p>
      <w:pPr>
        <w:tabs>
          <w:tab w:val="left" w:pos="4395"/>
        </w:tabs>
        <w:spacing w:line="240" w:lineRule="auto"/>
        <w:rPr>
          <w:rFonts w:ascii="宋体" w:hAnsi="宋体"/>
          <w:b/>
          <w:szCs w:val="21"/>
        </w:rPr>
      </w:pPr>
    </w:p>
    <w:p>
      <w:pPr>
        <w:tabs>
          <w:tab w:val="left" w:pos="4395"/>
        </w:tabs>
        <w:spacing w:line="240" w:lineRule="auto"/>
        <w:rPr>
          <w:rFonts w:ascii="宋体" w:hAnsi="宋体"/>
          <w:b/>
          <w:szCs w:val="21"/>
        </w:rPr>
      </w:pPr>
    </w:p>
    <w:p>
      <w:pPr>
        <w:pageBreakBefore/>
        <w:ind w:firstLine="316" w:firstLineChars="150"/>
        <w:jc w:val="center"/>
        <w:rPr>
          <w:rFonts w:asciiTheme="minorEastAsia" w:hAnsiTheme="minorEastAsia"/>
          <w:b/>
          <w:szCs w:val="21"/>
        </w:rPr>
      </w:pPr>
      <w:r>
        <w:rPr>
          <w:rFonts w:asciiTheme="minorEastAsia" w:hAnsiTheme="minorEastAsia"/>
          <w:b/>
          <w:szCs w:val="21"/>
        </w:rPr>
        <w:t>医院饭堂满意度调查表 (</w:t>
      </w:r>
      <w:r>
        <w:rPr>
          <w:rFonts w:hint="eastAsia" w:asciiTheme="minorEastAsia" w:hAnsiTheme="minorEastAsia" w:eastAsiaTheme="minorEastAsia"/>
          <w:szCs w:val="21"/>
        </w:rPr>
        <w:t>每半年考评一次，</w:t>
      </w:r>
      <w:r>
        <w:rPr>
          <w:rFonts w:asciiTheme="minorEastAsia" w:hAnsiTheme="minorEastAsia"/>
          <w:b/>
          <w:szCs w:val="21"/>
        </w:rPr>
        <w:t>参考模板)</w:t>
      </w:r>
    </w:p>
    <w:p>
      <w:pPr>
        <w:ind w:firstLine="315" w:firstLineChars="150"/>
        <w:jc w:val="center"/>
        <w:rPr>
          <w:rFonts w:asciiTheme="minorEastAsia" w:hAnsiTheme="minorEastAsia"/>
          <w:szCs w:val="21"/>
        </w:rPr>
      </w:pPr>
      <w:r>
        <w:rPr>
          <w:rFonts w:asciiTheme="minorEastAsia" w:hAnsiTheme="minorEastAsia"/>
          <w:szCs w:val="21"/>
        </w:rPr>
        <w:t>(      年月)</w:t>
      </w:r>
    </w:p>
    <w:p>
      <w:pPr>
        <w:ind w:firstLine="315" w:firstLineChars="150"/>
        <w:rPr>
          <w:rFonts w:asciiTheme="minorEastAsia" w:hAnsiTheme="minorEastAsia"/>
          <w:szCs w:val="21"/>
        </w:rPr>
      </w:pPr>
      <w:r>
        <w:rPr>
          <w:rFonts w:asciiTheme="minorEastAsia" w:hAnsiTheme="minorEastAsia"/>
          <w:szCs w:val="21"/>
        </w:rPr>
        <w:t>各位：</w:t>
      </w:r>
    </w:p>
    <w:p>
      <w:pPr>
        <w:ind w:firstLine="315" w:firstLineChars="150"/>
        <w:rPr>
          <w:rFonts w:asciiTheme="minorEastAsia" w:hAnsiTheme="minorEastAsia"/>
          <w:szCs w:val="21"/>
        </w:rPr>
      </w:pPr>
      <w:r>
        <w:rPr>
          <w:rFonts w:asciiTheme="minorEastAsia" w:hAnsiTheme="minorEastAsia"/>
          <w:szCs w:val="21"/>
        </w:rPr>
        <w:t>饭堂满意度调查是我们做好饭堂监督管理，提高饭堂质量和服务的重要依据，请您认真如实填写调查表 (在相应栏填上分数) ，若有意见和建议，请您写下。谢谢您的参与和支持！</w:t>
      </w:r>
    </w:p>
    <w:tbl>
      <w:tblPr>
        <w:tblStyle w:val="44"/>
        <w:tblW w:w="893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2838"/>
        <w:gridCol w:w="992"/>
        <w:gridCol w:w="991"/>
        <w:gridCol w:w="41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1" w:hRule="atLeast"/>
        </w:trPr>
        <w:tc>
          <w:tcPr>
            <w:tcW w:w="2838" w:type="dxa"/>
          </w:tcPr>
          <w:p>
            <w:pPr>
              <w:keepNext w:val="0"/>
              <w:keepLines w:val="0"/>
              <w:suppressLineNumbers w:val="0"/>
              <w:spacing w:before="0" w:beforeAutospacing="0" w:after="0" w:afterAutospacing="0"/>
              <w:ind w:left="0" w:right="0" w:firstLine="315" w:firstLineChars="150"/>
              <w:rPr>
                <w:rFonts w:asciiTheme="minorEastAsia" w:hAnsiTheme="minorEastAsia"/>
                <w:szCs w:val="21"/>
              </w:rPr>
            </w:pPr>
            <w:r>
              <w:rPr>
                <w:rFonts w:asciiTheme="minorEastAsia" w:hAnsiTheme="minorEastAsia"/>
                <w:szCs w:val="21"/>
              </w:rPr>
              <w:t>评价指标</w:t>
            </w:r>
          </w:p>
        </w:tc>
        <w:tc>
          <w:tcPr>
            <w:tcW w:w="992" w:type="dxa"/>
          </w:tcPr>
          <w:p>
            <w:pPr>
              <w:keepNext w:val="0"/>
              <w:keepLines w:val="0"/>
              <w:suppressLineNumbers w:val="0"/>
              <w:spacing w:before="0" w:beforeAutospacing="0" w:after="0" w:afterAutospacing="0"/>
              <w:ind w:left="0" w:right="0" w:firstLine="315" w:firstLineChars="150"/>
              <w:rPr>
                <w:rFonts w:asciiTheme="minorEastAsia" w:hAnsiTheme="minorEastAsia"/>
                <w:szCs w:val="21"/>
              </w:rPr>
            </w:pPr>
            <w:r>
              <w:rPr>
                <w:rFonts w:asciiTheme="minorEastAsia" w:hAnsiTheme="minorEastAsia"/>
                <w:szCs w:val="21"/>
              </w:rPr>
              <w:t>分数</w:t>
            </w:r>
          </w:p>
        </w:tc>
        <w:tc>
          <w:tcPr>
            <w:tcW w:w="991" w:type="dxa"/>
          </w:tcPr>
          <w:p>
            <w:pPr>
              <w:keepNext w:val="0"/>
              <w:keepLines w:val="0"/>
              <w:suppressLineNumbers w:val="0"/>
              <w:spacing w:before="0" w:beforeAutospacing="0" w:after="0" w:afterAutospacing="0"/>
              <w:ind w:left="0" w:right="0" w:firstLine="315" w:firstLineChars="150"/>
              <w:rPr>
                <w:rFonts w:asciiTheme="minorEastAsia" w:hAnsiTheme="minorEastAsia"/>
                <w:szCs w:val="21"/>
              </w:rPr>
            </w:pPr>
            <w:r>
              <w:rPr>
                <w:rFonts w:asciiTheme="minorEastAsia" w:hAnsiTheme="minorEastAsia"/>
                <w:szCs w:val="21"/>
              </w:rPr>
              <w:t>分值</w:t>
            </w:r>
          </w:p>
        </w:tc>
        <w:tc>
          <w:tcPr>
            <w:tcW w:w="4117" w:type="dxa"/>
          </w:tcPr>
          <w:p>
            <w:pPr>
              <w:keepNext w:val="0"/>
              <w:keepLines w:val="0"/>
              <w:suppressLineNumbers w:val="0"/>
              <w:spacing w:before="0" w:beforeAutospacing="0" w:after="0" w:afterAutospacing="0"/>
              <w:ind w:left="0" w:right="0" w:firstLine="315" w:firstLineChars="150"/>
              <w:rPr>
                <w:rFonts w:asciiTheme="minorEastAsia" w:hAnsiTheme="minorEastAsia"/>
                <w:szCs w:val="21"/>
              </w:rPr>
            </w:pPr>
            <w:r>
              <w:rPr>
                <w:rFonts w:asciiTheme="minorEastAsia" w:hAnsiTheme="minorEastAsia"/>
                <w:szCs w:val="21"/>
              </w:rPr>
              <w:t>填表说明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7" w:hRule="atLeast"/>
        </w:trPr>
        <w:tc>
          <w:tcPr>
            <w:tcW w:w="2838" w:type="dxa"/>
          </w:tcPr>
          <w:p>
            <w:pPr>
              <w:keepNext w:val="0"/>
              <w:keepLines w:val="0"/>
              <w:suppressLineNumbers w:val="0"/>
              <w:spacing w:before="0" w:beforeAutospacing="0" w:after="0" w:afterAutospacing="0"/>
              <w:ind w:left="0" w:right="0" w:firstLine="315" w:firstLineChars="150"/>
              <w:rPr>
                <w:rFonts w:asciiTheme="minorEastAsia" w:hAnsiTheme="minorEastAsia"/>
                <w:szCs w:val="21"/>
              </w:rPr>
            </w:pPr>
            <w:r>
              <w:rPr>
                <w:rFonts w:asciiTheme="minorEastAsia" w:hAnsiTheme="minorEastAsia"/>
                <w:szCs w:val="21"/>
              </w:rPr>
              <w:t>饭菜的品质味道</w:t>
            </w:r>
          </w:p>
        </w:tc>
        <w:tc>
          <w:tcPr>
            <w:tcW w:w="992" w:type="dxa"/>
          </w:tcPr>
          <w:p>
            <w:pPr>
              <w:keepNext w:val="0"/>
              <w:keepLines w:val="0"/>
              <w:suppressLineNumbers w:val="0"/>
              <w:spacing w:before="0" w:beforeAutospacing="0" w:after="0" w:afterAutospacing="0"/>
              <w:ind w:left="0" w:right="0" w:firstLine="315" w:firstLineChars="150"/>
              <w:rPr>
                <w:rFonts w:asciiTheme="minorEastAsia" w:hAnsiTheme="minorEastAsia"/>
                <w:szCs w:val="21"/>
              </w:rPr>
            </w:pPr>
          </w:p>
        </w:tc>
        <w:tc>
          <w:tcPr>
            <w:tcW w:w="991" w:type="dxa"/>
          </w:tcPr>
          <w:p>
            <w:pPr>
              <w:keepNext w:val="0"/>
              <w:keepLines w:val="0"/>
              <w:suppressLineNumbers w:val="0"/>
              <w:spacing w:before="0" w:beforeAutospacing="0" w:after="0" w:afterAutospacing="0"/>
              <w:ind w:left="0" w:right="0" w:firstLine="315" w:firstLineChars="150"/>
              <w:rPr>
                <w:rFonts w:asciiTheme="minorEastAsia" w:hAnsiTheme="minorEastAsia"/>
                <w:szCs w:val="21"/>
              </w:rPr>
            </w:pPr>
            <w:r>
              <w:rPr>
                <w:rFonts w:asciiTheme="minorEastAsia" w:hAnsiTheme="minorEastAsia"/>
                <w:szCs w:val="21"/>
              </w:rPr>
              <w:t>20</w:t>
            </w:r>
          </w:p>
        </w:tc>
        <w:tc>
          <w:tcPr>
            <w:tcW w:w="4117" w:type="dxa"/>
            <w:vMerge w:val="restart"/>
            <w:tcBorders>
              <w:bottom w:val="nil"/>
            </w:tcBorders>
            <w:vAlign w:val="center"/>
          </w:tcPr>
          <w:p>
            <w:pPr>
              <w:keepNext w:val="0"/>
              <w:keepLines w:val="0"/>
              <w:suppressLineNumbers w:val="0"/>
              <w:spacing w:before="0" w:beforeAutospacing="0" w:after="0" w:afterAutospacing="0"/>
              <w:ind w:left="0" w:right="0" w:firstLine="315" w:firstLineChars="150"/>
              <w:rPr>
                <w:rFonts w:asciiTheme="minorEastAsia" w:hAnsiTheme="minorEastAsia"/>
                <w:szCs w:val="21"/>
              </w:rPr>
            </w:pPr>
            <w:r>
              <w:rPr>
                <w:rFonts w:asciiTheme="minorEastAsia" w:hAnsiTheme="minorEastAsia"/>
                <w:szCs w:val="21"/>
              </w:rPr>
              <w:t>1、打分标准：</w:t>
            </w:r>
          </w:p>
          <w:p>
            <w:pPr>
              <w:keepNext w:val="0"/>
              <w:keepLines w:val="0"/>
              <w:suppressLineNumbers w:val="0"/>
              <w:spacing w:before="0" w:beforeAutospacing="0" w:after="0" w:afterAutospacing="0"/>
              <w:ind w:left="0" w:right="0" w:firstLine="315" w:firstLineChars="150"/>
              <w:rPr>
                <w:rFonts w:asciiTheme="minorEastAsia" w:hAnsiTheme="minorEastAsia"/>
                <w:szCs w:val="21"/>
              </w:rPr>
            </w:pPr>
            <w:r>
              <w:rPr>
                <w:rFonts w:asciiTheme="minorEastAsia" w:hAnsiTheme="minorEastAsia"/>
                <w:szCs w:val="21"/>
              </w:rPr>
              <w:t>非常满意≥80 分；80 分＞满意≥70 分；</w:t>
            </w:r>
          </w:p>
          <w:p>
            <w:pPr>
              <w:keepNext w:val="0"/>
              <w:keepLines w:val="0"/>
              <w:suppressLineNumbers w:val="0"/>
              <w:spacing w:before="0" w:beforeAutospacing="0" w:after="0" w:afterAutospacing="0"/>
              <w:ind w:left="0" w:right="0" w:firstLine="315" w:firstLineChars="150"/>
              <w:rPr>
                <w:rFonts w:asciiTheme="minorEastAsia" w:hAnsiTheme="minorEastAsia"/>
                <w:szCs w:val="21"/>
              </w:rPr>
            </w:pPr>
            <w:r>
              <w:rPr>
                <w:rFonts w:asciiTheme="minorEastAsia" w:hAnsiTheme="minorEastAsia"/>
                <w:szCs w:val="21"/>
              </w:rPr>
              <w:t>70 分＞一般≥60 分；不满意＜60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7" w:hRule="atLeast"/>
        </w:trPr>
        <w:tc>
          <w:tcPr>
            <w:tcW w:w="2838" w:type="dxa"/>
          </w:tcPr>
          <w:p>
            <w:pPr>
              <w:keepNext w:val="0"/>
              <w:keepLines w:val="0"/>
              <w:suppressLineNumbers w:val="0"/>
              <w:spacing w:before="0" w:beforeAutospacing="0" w:after="0" w:afterAutospacing="0"/>
              <w:ind w:left="0" w:right="0" w:firstLine="315" w:firstLineChars="150"/>
              <w:rPr>
                <w:rFonts w:asciiTheme="minorEastAsia" w:hAnsiTheme="minorEastAsia"/>
                <w:szCs w:val="21"/>
              </w:rPr>
            </w:pPr>
            <w:r>
              <w:rPr>
                <w:rFonts w:asciiTheme="minorEastAsia" w:hAnsiTheme="minorEastAsia"/>
                <w:szCs w:val="21"/>
              </w:rPr>
              <w:t>饭菜份量</w:t>
            </w:r>
          </w:p>
        </w:tc>
        <w:tc>
          <w:tcPr>
            <w:tcW w:w="992" w:type="dxa"/>
          </w:tcPr>
          <w:p>
            <w:pPr>
              <w:keepNext w:val="0"/>
              <w:keepLines w:val="0"/>
              <w:suppressLineNumbers w:val="0"/>
              <w:spacing w:before="0" w:beforeAutospacing="0" w:after="0" w:afterAutospacing="0"/>
              <w:ind w:left="0" w:right="0" w:firstLine="315" w:firstLineChars="150"/>
              <w:rPr>
                <w:rFonts w:asciiTheme="minorEastAsia" w:hAnsiTheme="minorEastAsia"/>
                <w:szCs w:val="21"/>
              </w:rPr>
            </w:pPr>
          </w:p>
        </w:tc>
        <w:tc>
          <w:tcPr>
            <w:tcW w:w="991" w:type="dxa"/>
          </w:tcPr>
          <w:p>
            <w:pPr>
              <w:keepNext w:val="0"/>
              <w:keepLines w:val="0"/>
              <w:suppressLineNumbers w:val="0"/>
              <w:spacing w:before="0" w:beforeAutospacing="0" w:after="0" w:afterAutospacing="0"/>
              <w:ind w:left="0" w:right="0" w:firstLine="315" w:firstLineChars="150"/>
              <w:rPr>
                <w:rFonts w:asciiTheme="minorEastAsia" w:hAnsiTheme="minorEastAsia"/>
                <w:szCs w:val="21"/>
              </w:rPr>
            </w:pPr>
            <w:r>
              <w:rPr>
                <w:rFonts w:asciiTheme="minorEastAsia" w:hAnsiTheme="minorEastAsia"/>
                <w:szCs w:val="21"/>
              </w:rPr>
              <w:t>18</w:t>
            </w:r>
          </w:p>
        </w:tc>
        <w:tc>
          <w:tcPr>
            <w:tcW w:w="4117" w:type="dxa"/>
            <w:vMerge w:val="continue"/>
            <w:tcBorders>
              <w:top w:val="nil"/>
              <w:bottom w:val="nil"/>
            </w:tcBorders>
          </w:tcPr>
          <w:p>
            <w:pPr>
              <w:keepNext w:val="0"/>
              <w:keepLines w:val="0"/>
              <w:suppressLineNumbers w:val="0"/>
              <w:spacing w:before="0" w:beforeAutospacing="0" w:after="0" w:afterAutospacing="0"/>
              <w:ind w:left="0" w:right="0" w:firstLine="315" w:firstLineChars="150"/>
              <w:rPr>
                <w:rFonts w:asciiTheme="minorEastAsia" w:hAnsiTheme="min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7" w:hRule="atLeast"/>
        </w:trPr>
        <w:tc>
          <w:tcPr>
            <w:tcW w:w="2838" w:type="dxa"/>
          </w:tcPr>
          <w:p>
            <w:pPr>
              <w:keepNext w:val="0"/>
              <w:keepLines w:val="0"/>
              <w:suppressLineNumbers w:val="0"/>
              <w:spacing w:before="0" w:beforeAutospacing="0" w:after="0" w:afterAutospacing="0"/>
              <w:ind w:left="0" w:right="0" w:firstLine="315" w:firstLineChars="150"/>
              <w:rPr>
                <w:rFonts w:asciiTheme="minorEastAsia" w:hAnsiTheme="minorEastAsia"/>
                <w:szCs w:val="21"/>
              </w:rPr>
            </w:pPr>
            <w:r>
              <w:rPr>
                <w:rFonts w:asciiTheme="minorEastAsia" w:hAnsiTheme="minorEastAsia"/>
                <w:szCs w:val="21"/>
              </w:rPr>
              <w:t>饭菜价格</w:t>
            </w:r>
          </w:p>
        </w:tc>
        <w:tc>
          <w:tcPr>
            <w:tcW w:w="992" w:type="dxa"/>
          </w:tcPr>
          <w:p>
            <w:pPr>
              <w:keepNext w:val="0"/>
              <w:keepLines w:val="0"/>
              <w:suppressLineNumbers w:val="0"/>
              <w:spacing w:before="0" w:beforeAutospacing="0" w:after="0" w:afterAutospacing="0"/>
              <w:ind w:left="0" w:right="0" w:firstLine="315" w:firstLineChars="150"/>
              <w:rPr>
                <w:rFonts w:asciiTheme="minorEastAsia" w:hAnsiTheme="minorEastAsia"/>
                <w:szCs w:val="21"/>
              </w:rPr>
            </w:pPr>
          </w:p>
        </w:tc>
        <w:tc>
          <w:tcPr>
            <w:tcW w:w="991" w:type="dxa"/>
          </w:tcPr>
          <w:p>
            <w:pPr>
              <w:keepNext w:val="0"/>
              <w:keepLines w:val="0"/>
              <w:suppressLineNumbers w:val="0"/>
              <w:spacing w:before="0" w:beforeAutospacing="0" w:after="0" w:afterAutospacing="0"/>
              <w:ind w:left="0" w:right="0" w:firstLine="315" w:firstLineChars="150"/>
              <w:rPr>
                <w:rFonts w:asciiTheme="minorEastAsia" w:hAnsiTheme="minorEastAsia"/>
                <w:szCs w:val="21"/>
              </w:rPr>
            </w:pPr>
            <w:r>
              <w:rPr>
                <w:rFonts w:asciiTheme="minorEastAsia" w:hAnsiTheme="minorEastAsia"/>
                <w:szCs w:val="21"/>
              </w:rPr>
              <w:t>15</w:t>
            </w:r>
          </w:p>
        </w:tc>
        <w:tc>
          <w:tcPr>
            <w:tcW w:w="4117" w:type="dxa"/>
            <w:vMerge w:val="continue"/>
            <w:tcBorders>
              <w:top w:val="nil"/>
              <w:bottom w:val="nil"/>
            </w:tcBorders>
          </w:tcPr>
          <w:p>
            <w:pPr>
              <w:keepNext w:val="0"/>
              <w:keepLines w:val="0"/>
              <w:suppressLineNumbers w:val="0"/>
              <w:spacing w:before="0" w:beforeAutospacing="0" w:after="0" w:afterAutospacing="0"/>
              <w:ind w:left="0" w:right="0" w:firstLine="315" w:firstLineChars="150"/>
              <w:rPr>
                <w:rFonts w:asciiTheme="minorEastAsia" w:hAnsiTheme="min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7" w:hRule="atLeast"/>
        </w:trPr>
        <w:tc>
          <w:tcPr>
            <w:tcW w:w="2838" w:type="dxa"/>
          </w:tcPr>
          <w:p>
            <w:pPr>
              <w:keepNext w:val="0"/>
              <w:keepLines w:val="0"/>
              <w:suppressLineNumbers w:val="0"/>
              <w:spacing w:before="0" w:beforeAutospacing="0" w:after="0" w:afterAutospacing="0"/>
              <w:ind w:left="0" w:right="0" w:firstLine="315" w:firstLineChars="150"/>
              <w:rPr>
                <w:rFonts w:asciiTheme="minorEastAsia" w:hAnsiTheme="minorEastAsia"/>
                <w:szCs w:val="21"/>
              </w:rPr>
            </w:pPr>
            <w:r>
              <w:rPr>
                <w:rFonts w:asciiTheme="minorEastAsia" w:hAnsiTheme="minorEastAsia"/>
                <w:szCs w:val="21"/>
              </w:rPr>
              <w:t>菜式的品种、搭配</w:t>
            </w:r>
          </w:p>
        </w:tc>
        <w:tc>
          <w:tcPr>
            <w:tcW w:w="992" w:type="dxa"/>
          </w:tcPr>
          <w:p>
            <w:pPr>
              <w:keepNext w:val="0"/>
              <w:keepLines w:val="0"/>
              <w:suppressLineNumbers w:val="0"/>
              <w:spacing w:before="0" w:beforeAutospacing="0" w:after="0" w:afterAutospacing="0"/>
              <w:ind w:left="0" w:right="0" w:firstLine="315" w:firstLineChars="150"/>
              <w:rPr>
                <w:rFonts w:asciiTheme="minorEastAsia" w:hAnsiTheme="minorEastAsia"/>
                <w:szCs w:val="21"/>
              </w:rPr>
            </w:pPr>
          </w:p>
        </w:tc>
        <w:tc>
          <w:tcPr>
            <w:tcW w:w="991" w:type="dxa"/>
          </w:tcPr>
          <w:p>
            <w:pPr>
              <w:keepNext w:val="0"/>
              <w:keepLines w:val="0"/>
              <w:suppressLineNumbers w:val="0"/>
              <w:spacing w:before="0" w:beforeAutospacing="0" w:after="0" w:afterAutospacing="0"/>
              <w:ind w:left="0" w:right="0" w:firstLine="315" w:firstLineChars="150"/>
              <w:rPr>
                <w:rFonts w:asciiTheme="minorEastAsia" w:hAnsiTheme="minorEastAsia"/>
                <w:szCs w:val="21"/>
              </w:rPr>
            </w:pPr>
            <w:r>
              <w:rPr>
                <w:rFonts w:asciiTheme="minorEastAsia" w:hAnsiTheme="minorEastAsia"/>
                <w:szCs w:val="21"/>
              </w:rPr>
              <w:t>17</w:t>
            </w:r>
          </w:p>
        </w:tc>
        <w:tc>
          <w:tcPr>
            <w:tcW w:w="4117" w:type="dxa"/>
            <w:vMerge w:val="continue"/>
            <w:tcBorders>
              <w:top w:val="nil"/>
              <w:bottom w:val="nil"/>
            </w:tcBorders>
          </w:tcPr>
          <w:p>
            <w:pPr>
              <w:keepNext w:val="0"/>
              <w:keepLines w:val="0"/>
              <w:suppressLineNumbers w:val="0"/>
              <w:spacing w:before="0" w:beforeAutospacing="0" w:after="0" w:afterAutospacing="0"/>
              <w:ind w:left="0" w:right="0" w:firstLine="315" w:firstLineChars="150"/>
              <w:rPr>
                <w:rFonts w:asciiTheme="minorEastAsia" w:hAnsiTheme="min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6" w:hRule="atLeast"/>
        </w:trPr>
        <w:tc>
          <w:tcPr>
            <w:tcW w:w="2838" w:type="dxa"/>
          </w:tcPr>
          <w:p>
            <w:pPr>
              <w:keepNext w:val="0"/>
              <w:keepLines w:val="0"/>
              <w:suppressLineNumbers w:val="0"/>
              <w:spacing w:before="0" w:beforeAutospacing="0" w:after="0" w:afterAutospacing="0"/>
              <w:ind w:left="0" w:right="0" w:firstLine="315" w:firstLineChars="150"/>
              <w:rPr>
                <w:rFonts w:asciiTheme="minorEastAsia" w:hAnsiTheme="minorEastAsia"/>
                <w:szCs w:val="21"/>
              </w:rPr>
            </w:pPr>
            <w:r>
              <w:rPr>
                <w:rFonts w:asciiTheme="minorEastAsia" w:hAnsiTheme="minorEastAsia"/>
                <w:szCs w:val="21"/>
              </w:rPr>
              <w:t>个人及环境卫生状况</w:t>
            </w:r>
          </w:p>
        </w:tc>
        <w:tc>
          <w:tcPr>
            <w:tcW w:w="992" w:type="dxa"/>
          </w:tcPr>
          <w:p>
            <w:pPr>
              <w:keepNext w:val="0"/>
              <w:keepLines w:val="0"/>
              <w:suppressLineNumbers w:val="0"/>
              <w:spacing w:before="0" w:beforeAutospacing="0" w:after="0" w:afterAutospacing="0"/>
              <w:ind w:left="0" w:right="0" w:firstLine="315" w:firstLineChars="150"/>
              <w:rPr>
                <w:rFonts w:asciiTheme="minorEastAsia" w:hAnsiTheme="minorEastAsia"/>
                <w:szCs w:val="21"/>
              </w:rPr>
            </w:pPr>
          </w:p>
        </w:tc>
        <w:tc>
          <w:tcPr>
            <w:tcW w:w="991" w:type="dxa"/>
          </w:tcPr>
          <w:p>
            <w:pPr>
              <w:keepNext w:val="0"/>
              <w:keepLines w:val="0"/>
              <w:suppressLineNumbers w:val="0"/>
              <w:spacing w:before="0" w:beforeAutospacing="0" w:after="0" w:afterAutospacing="0"/>
              <w:ind w:left="0" w:right="0" w:firstLine="315" w:firstLineChars="150"/>
              <w:rPr>
                <w:rFonts w:asciiTheme="minorEastAsia" w:hAnsiTheme="minorEastAsia"/>
                <w:szCs w:val="21"/>
              </w:rPr>
            </w:pPr>
            <w:r>
              <w:rPr>
                <w:rFonts w:asciiTheme="minorEastAsia" w:hAnsiTheme="minorEastAsia"/>
                <w:szCs w:val="21"/>
              </w:rPr>
              <w:t>15</w:t>
            </w:r>
          </w:p>
        </w:tc>
        <w:tc>
          <w:tcPr>
            <w:tcW w:w="4117" w:type="dxa"/>
            <w:vMerge w:val="continue"/>
            <w:tcBorders>
              <w:top w:val="nil"/>
              <w:bottom w:val="nil"/>
            </w:tcBorders>
          </w:tcPr>
          <w:p>
            <w:pPr>
              <w:keepNext w:val="0"/>
              <w:keepLines w:val="0"/>
              <w:suppressLineNumbers w:val="0"/>
              <w:spacing w:before="0" w:beforeAutospacing="0" w:after="0" w:afterAutospacing="0"/>
              <w:ind w:left="0" w:right="0" w:firstLine="315" w:firstLineChars="150"/>
              <w:rPr>
                <w:rFonts w:asciiTheme="minorEastAsia" w:hAnsiTheme="min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7" w:hRule="atLeast"/>
        </w:trPr>
        <w:tc>
          <w:tcPr>
            <w:tcW w:w="2838" w:type="dxa"/>
          </w:tcPr>
          <w:p>
            <w:pPr>
              <w:keepNext w:val="0"/>
              <w:keepLines w:val="0"/>
              <w:suppressLineNumbers w:val="0"/>
              <w:spacing w:before="0" w:beforeAutospacing="0" w:after="0" w:afterAutospacing="0"/>
              <w:ind w:left="0" w:right="0" w:firstLine="315" w:firstLineChars="150"/>
              <w:rPr>
                <w:rFonts w:asciiTheme="minorEastAsia" w:hAnsiTheme="minorEastAsia"/>
                <w:szCs w:val="21"/>
              </w:rPr>
            </w:pPr>
            <w:r>
              <w:rPr>
                <w:rFonts w:asciiTheme="minorEastAsia" w:hAnsiTheme="minorEastAsia"/>
                <w:szCs w:val="21"/>
              </w:rPr>
              <w:t>服务态度</w:t>
            </w:r>
          </w:p>
        </w:tc>
        <w:tc>
          <w:tcPr>
            <w:tcW w:w="992" w:type="dxa"/>
          </w:tcPr>
          <w:p>
            <w:pPr>
              <w:keepNext w:val="0"/>
              <w:keepLines w:val="0"/>
              <w:suppressLineNumbers w:val="0"/>
              <w:spacing w:before="0" w:beforeAutospacing="0" w:after="0" w:afterAutospacing="0"/>
              <w:ind w:left="0" w:right="0" w:firstLine="315" w:firstLineChars="150"/>
              <w:rPr>
                <w:rFonts w:asciiTheme="minorEastAsia" w:hAnsiTheme="minorEastAsia"/>
                <w:szCs w:val="21"/>
              </w:rPr>
            </w:pPr>
          </w:p>
        </w:tc>
        <w:tc>
          <w:tcPr>
            <w:tcW w:w="991" w:type="dxa"/>
          </w:tcPr>
          <w:p>
            <w:pPr>
              <w:keepNext w:val="0"/>
              <w:keepLines w:val="0"/>
              <w:suppressLineNumbers w:val="0"/>
              <w:spacing w:before="0" w:beforeAutospacing="0" w:after="0" w:afterAutospacing="0"/>
              <w:ind w:left="0" w:right="0" w:firstLine="315" w:firstLineChars="150"/>
              <w:rPr>
                <w:rFonts w:asciiTheme="minorEastAsia" w:hAnsiTheme="minorEastAsia"/>
                <w:szCs w:val="21"/>
              </w:rPr>
            </w:pPr>
            <w:r>
              <w:rPr>
                <w:rFonts w:asciiTheme="minorEastAsia" w:hAnsiTheme="minorEastAsia"/>
                <w:szCs w:val="21"/>
              </w:rPr>
              <w:t>15</w:t>
            </w:r>
          </w:p>
        </w:tc>
        <w:tc>
          <w:tcPr>
            <w:tcW w:w="4117" w:type="dxa"/>
            <w:vMerge w:val="continue"/>
            <w:tcBorders>
              <w:top w:val="nil"/>
              <w:bottom w:val="nil"/>
            </w:tcBorders>
          </w:tcPr>
          <w:p>
            <w:pPr>
              <w:keepNext w:val="0"/>
              <w:keepLines w:val="0"/>
              <w:suppressLineNumbers w:val="0"/>
              <w:spacing w:before="0" w:beforeAutospacing="0" w:after="0" w:afterAutospacing="0"/>
              <w:ind w:left="0" w:right="0" w:firstLine="315" w:firstLineChars="150"/>
              <w:rPr>
                <w:rFonts w:asciiTheme="minorEastAsia" w:hAnsiTheme="minorEastAsia"/>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1" w:hRule="atLeast"/>
        </w:trPr>
        <w:tc>
          <w:tcPr>
            <w:tcW w:w="2838" w:type="dxa"/>
          </w:tcPr>
          <w:p>
            <w:pPr>
              <w:keepNext w:val="0"/>
              <w:keepLines w:val="0"/>
              <w:suppressLineNumbers w:val="0"/>
              <w:spacing w:before="0" w:beforeAutospacing="0" w:after="0" w:afterAutospacing="0"/>
              <w:ind w:left="0" w:right="0" w:firstLine="315" w:firstLineChars="150"/>
              <w:rPr>
                <w:rFonts w:asciiTheme="minorEastAsia" w:hAnsiTheme="minorEastAsia"/>
                <w:szCs w:val="21"/>
              </w:rPr>
            </w:pPr>
            <w:r>
              <w:rPr>
                <w:rFonts w:asciiTheme="minorEastAsia" w:hAnsiTheme="minorEastAsia"/>
                <w:szCs w:val="21"/>
              </w:rPr>
              <w:t>总分</w:t>
            </w:r>
          </w:p>
        </w:tc>
        <w:tc>
          <w:tcPr>
            <w:tcW w:w="992" w:type="dxa"/>
          </w:tcPr>
          <w:p>
            <w:pPr>
              <w:keepNext w:val="0"/>
              <w:keepLines w:val="0"/>
              <w:suppressLineNumbers w:val="0"/>
              <w:spacing w:before="0" w:beforeAutospacing="0" w:after="0" w:afterAutospacing="0"/>
              <w:ind w:left="0" w:right="0" w:firstLine="315" w:firstLineChars="150"/>
              <w:rPr>
                <w:rFonts w:asciiTheme="minorEastAsia" w:hAnsiTheme="minorEastAsia"/>
                <w:szCs w:val="21"/>
              </w:rPr>
            </w:pPr>
          </w:p>
        </w:tc>
        <w:tc>
          <w:tcPr>
            <w:tcW w:w="991" w:type="dxa"/>
          </w:tcPr>
          <w:p>
            <w:pPr>
              <w:keepNext w:val="0"/>
              <w:keepLines w:val="0"/>
              <w:suppressLineNumbers w:val="0"/>
              <w:spacing w:before="0" w:beforeAutospacing="0" w:after="0" w:afterAutospacing="0"/>
              <w:ind w:left="0" w:right="0" w:firstLine="315" w:firstLineChars="150"/>
              <w:rPr>
                <w:rFonts w:asciiTheme="minorEastAsia" w:hAnsiTheme="minorEastAsia"/>
                <w:szCs w:val="21"/>
              </w:rPr>
            </w:pPr>
            <w:r>
              <w:rPr>
                <w:rFonts w:asciiTheme="minorEastAsia" w:hAnsiTheme="minorEastAsia"/>
                <w:szCs w:val="21"/>
              </w:rPr>
              <w:t>100</w:t>
            </w:r>
          </w:p>
        </w:tc>
        <w:tc>
          <w:tcPr>
            <w:tcW w:w="4117" w:type="dxa"/>
            <w:vMerge w:val="continue"/>
            <w:tcBorders>
              <w:top w:val="nil"/>
            </w:tcBorders>
          </w:tcPr>
          <w:p>
            <w:pPr>
              <w:keepNext w:val="0"/>
              <w:keepLines w:val="0"/>
              <w:suppressLineNumbers w:val="0"/>
              <w:spacing w:before="0" w:beforeAutospacing="0" w:after="0" w:afterAutospacing="0"/>
              <w:ind w:left="0" w:right="0" w:firstLine="315" w:firstLineChars="150"/>
              <w:rPr>
                <w:rFonts w:asciiTheme="minorEastAsia" w:hAnsiTheme="minorEastAsia"/>
                <w:szCs w:val="21"/>
              </w:rPr>
            </w:pPr>
          </w:p>
        </w:tc>
      </w:tr>
    </w:tbl>
    <w:p>
      <w:pPr>
        <w:tabs>
          <w:tab w:val="left" w:pos="4395"/>
        </w:tabs>
        <w:spacing w:line="240" w:lineRule="auto"/>
        <w:rPr>
          <w:rFonts w:ascii="宋体" w:hAnsi="宋体"/>
          <w:b/>
          <w:szCs w:val="21"/>
        </w:rPr>
      </w:pPr>
      <w:r>
        <w:rPr>
          <w:rFonts w:asciiTheme="minorEastAsia" w:hAnsiTheme="minorEastAsia"/>
          <w:szCs w:val="21"/>
        </w:rPr>
        <w:t>意见和建议: ___________________________________________</w:t>
      </w:r>
    </w:p>
    <w:p>
      <w:pPr>
        <w:pageBreakBefore/>
        <w:spacing w:afterLines="50"/>
        <w:jc w:val="center"/>
        <w:rPr>
          <w:rFonts w:asciiTheme="minorEastAsia" w:hAnsiTheme="minorEastAsia" w:eastAsiaTheme="minorEastAsia"/>
          <w:b/>
          <w:szCs w:val="21"/>
        </w:rPr>
      </w:pPr>
      <w:r>
        <w:rPr>
          <w:rFonts w:hint="eastAsia" w:asciiTheme="minorEastAsia" w:hAnsiTheme="minorEastAsia" w:eastAsiaTheme="minorEastAsia"/>
          <w:b/>
          <w:szCs w:val="21"/>
        </w:rPr>
        <w:t>食堂管理月度服务质量考评表</w:t>
      </w:r>
      <w:r>
        <w:rPr>
          <w:rFonts w:asciiTheme="minorEastAsia" w:hAnsiTheme="minorEastAsia" w:eastAsiaTheme="minorEastAsia"/>
          <w:szCs w:val="21"/>
        </w:rPr>
        <w:t>(</w:t>
      </w:r>
      <w:r>
        <w:rPr>
          <w:rFonts w:hint="eastAsia" w:asciiTheme="minorEastAsia" w:hAnsiTheme="minorEastAsia" w:eastAsiaTheme="minorEastAsia"/>
          <w:szCs w:val="21"/>
        </w:rPr>
        <w:t>每月考评一次，</w:t>
      </w:r>
      <w:r>
        <w:rPr>
          <w:rFonts w:asciiTheme="minorEastAsia" w:hAnsiTheme="minorEastAsia" w:eastAsiaTheme="minorEastAsia"/>
          <w:szCs w:val="21"/>
        </w:rPr>
        <w:t>参考模板)</w:t>
      </w:r>
    </w:p>
    <w:p>
      <w:pPr>
        <w:spacing w:afterLines="50"/>
        <w:rPr>
          <w:rFonts w:asciiTheme="minorEastAsia" w:hAnsiTheme="minorEastAsia" w:eastAsiaTheme="minorEastAsia"/>
          <w:szCs w:val="21"/>
        </w:rPr>
      </w:pPr>
      <w:r>
        <w:rPr>
          <w:rFonts w:hint="eastAsia" w:asciiTheme="minorEastAsia" w:hAnsiTheme="minorEastAsia" w:eastAsiaTheme="minorEastAsia"/>
          <w:szCs w:val="21"/>
        </w:rPr>
        <w:t xml:space="preserve">考核月份：  20  年  月  </w:t>
      </w:r>
    </w:p>
    <w:tbl>
      <w:tblPr>
        <w:tblStyle w:val="44"/>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5514"/>
        <w:gridCol w:w="100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keepNext w:val="0"/>
              <w:keepLines w:val="0"/>
              <w:suppressLineNumbers w:val="0"/>
              <w:adjustRightInd w:val="0"/>
              <w:snapToGrid w:val="0"/>
              <w:spacing w:before="0" w:beforeLines="50" w:beforeAutospacing="0" w:after="0" w:afterAutospacing="0" w:line="360" w:lineRule="auto"/>
              <w:ind w:left="0" w:right="0"/>
              <w:jc w:val="center"/>
              <w:rPr>
                <w:rFonts w:asciiTheme="minorEastAsia" w:hAnsiTheme="minorEastAsia" w:eastAsiaTheme="minorEastAsia"/>
                <w:szCs w:val="21"/>
              </w:rPr>
            </w:pPr>
            <w:r>
              <w:rPr>
                <w:rFonts w:hint="eastAsia" w:asciiTheme="minorEastAsia" w:hAnsiTheme="minorEastAsia" w:eastAsiaTheme="minorEastAsia"/>
                <w:szCs w:val="21"/>
              </w:rPr>
              <w:t>检查项目</w:t>
            </w: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r>
              <w:rPr>
                <w:rFonts w:hint="eastAsia" w:asciiTheme="minorEastAsia" w:hAnsiTheme="minorEastAsia" w:eastAsiaTheme="minorEastAsia"/>
                <w:szCs w:val="21"/>
              </w:rPr>
              <w:t>检查内容及考评方法</w:t>
            </w:r>
          </w:p>
        </w:tc>
        <w:tc>
          <w:tcPr>
            <w:tcW w:w="100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r>
              <w:rPr>
                <w:rFonts w:hint="eastAsia" w:asciiTheme="minorEastAsia" w:hAnsiTheme="minorEastAsia" w:eastAsiaTheme="minorEastAsia"/>
                <w:szCs w:val="21"/>
              </w:rPr>
              <w:t>存在问题及扣分</w:t>
            </w:r>
          </w:p>
        </w:tc>
        <w:tc>
          <w:tcPr>
            <w:tcW w:w="992"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r>
              <w:rPr>
                <w:rFonts w:hint="eastAsia" w:asciiTheme="minorEastAsia" w:hAnsiTheme="minorEastAsia" w:eastAsiaTheme="minorEastAsia"/>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restart"/>
            <w:vAlign w:val="center"/>
          </w:tcPr>
          <w:p>
            <w:pPr>
              <w:keepNext w:val="0"/>
              <w:keepLines w:val="0"/>
              <w:suppressLineNumbers w:val="0"/>
              <w:adjustRightInd w:val="0"/>
              <w:snapToGrid w:val="0"/>
              <w:spacing w:before="0" w:beforeLines="50" w:beforeAutospacing="0" w:after="0" w:afterAutospacing="0" w:line="360" w:lineRule="auto"/>
              <w:ind w:left="0" w:right="0"/>
              <w:rPr>
                <w:rFonts w:asciiTheme="minorEastAsia" w:hAnsiTheme="minorEastAsia" w:eastAsiaTheme="minorEastAsia"/>
                <w:szCs w:val="21"/>
              </w:rPr>
            </w:pPr>
            <w:r>
              <w:rPr>
                <w:rFonts w:hint="eastAsia" w:asciiTheme="minorEastAsia" w:hAnsiTheme="minorEastAsia" w:eastAsiaTheme="minorEastAsia"/>
                <w:szCs w:val="21"/>
              </w:rPr>
              <w:t>经营管理</w:t>
            </w:r>
          </w:p>
          <w:p>
            <w:pPr>
              <w:keepNext w:val="0"/>
              <w:keepLines w:val="0"/>
              <w:suppressLineNumbers w:val="0"/>
              <w:adjustRightInd w:val="0"/>
              <w:snapToGrid w:val="0"/>
              <w:spacing w:before="0" w:beforeLines="50" w:beforeAutospacing="0" w:after="0" w:afterAutospacing="0" w:line="360" w:lineRule="auto"/>
              <w:ind w:left="0" w:right="0"/>
              <w:jc w:val="center"/>
              <w:rPr>
                <w:rFonts w:asciiTheme="minorEastAsia" w:hAnsiTheme="minorEastAsia" w:eastAsiaTheme="minorEastAsia"/>
                <w:b/>
                <w:sz w:val="72"/>
                <w:szCs w:val="21"/>
              </w:rPr>
            </w:pPr>
            <w:r>
              <w:rPr>
                <w:rFonts w:hint="eastAsia" w:asciiTheme="minorEastAsia" w:hAnsiTheme="minorEastAsia" w:eastAsiaTheme="minorEastAsia"/>
                <w:szCs w:val="21"/>
              </w:rPr>
              <w:t>（10分）</w:t>
            </w:r>
          </w:p>
        </w:tc>
        <w:tc>
          <w:tcPr>
            <w:tcW w:w="5514"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设置专职管理人员和食堂管理架构，制定项目运营方案，具备应对饭堂突发事件的能力。按行业法规制定岗位人员职责、各项管理制度、操作流程、培训计划、有效监控措施等。缺少扣1分/项。</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b/>
                <w:sz w:val="24"/>
                <w:szCs w:val="21"/>
              </w:rPr>
            </w:pPr>
          </w:p>
        </w:tc>
        <w:tc>
          <w:tcPr>
            <w:tcW w:w="992" w:type="dxa"/>
            <w:vMerge w:val="restart"/>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rPr>
                <w:rFonts w:asciiTheme="minorEastAsia" w:hAnsiTheme="minorEastAsia" w:eastAsiaTheme="minorEastAsia"/>
                <w:b/>
                <w:sz w:val="24"/>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运营期间落实执行标书及合同的各项管理要求，按要求提供早餐、午餐、晚餐、宵夜及应急供餐等餐饮服务，并按标准化餐品及餐量供餐，保证规定售价。没执行或执行不到位扣2-4分</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b/>
                <w:sz w:val="24"/>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4"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rPr>
                <w:rFonts w:asciiTheme="minorEastAsia" w:hAnsiTheme="minorEastAsia" w:eastAsiaTheme="minorEastAsia"/>
                <w:b/>
                <w:sz w:val="24"/>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员工遵守国家、医院各项规章制度、管理要求等，无违法犯罪、监守自盗、违法食品安全上岗要求等，违反医院相关制度扣1-3分/次，发生违规违法事件扣2-5分/次。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b/>
                <w:sz w:val="24"/>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rPr>
                <w:rFonts w:asciiTheme="minorEastAsia" w:hAnsiTheme="minorEastAsia" w:eastAsiaTheme="minorEastAsia"/>
                <w:b/>
                <w:sz w:val="24"/>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建立各类管理档案，包括食品安全、消防安全检查、培训、员工服务质量检查和绩效考评等，缺少扣1分/项。承包方要有内部对菜肴出品的质量考核和满意度调查，对于不满意的厨师要建立淘汰机制，没执行或执行不到位扣2-4分。</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b/>
                <w:sz w:val="72"/>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rPr>
                <w:rFonts w:asciiTheme="minorEastAsia" w:hAnsiTheme="minorEastAsia" w:eastAsiaTheme="minorEastAsia"/>
                <w:b/>
                <w:sz w:val="72"/>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食品供货商及其产品应具备的证照齐全，缺乏扣2分/品种或供应商，没建立固定供货渠道及签订协议，或供货商资料没按要求报后勤保障科审批及备案，扣2-4分/次。不及时补充可终止供应商产品供应。</w:t>
            </w:r>
          </w:p>
        </w:tc>
        <w:tc>
          <w:tcPr>
            <w:tcW w:w="100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rPr>
                <w:rFonts w:asciiTheme="minorEastAsia" w:hAnsiTheme="minorEastAsia" w:eastAsiaTheme="minorEastAsia"/>
                <w:b/>
                <w:sz w:val="24"/>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肉菜等鲜活采购应固定档位，有检验合格证，不符合要求扣2分/次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4"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rPr>
                <w:rFonts w:asciiTheme="minorEastAsia" w:hAnsiTheme="minorEastAsia" w:eastAsiaTheme="minorEastAsia"/>
                <w:b/>
                <w:sz w:val="24"/>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不落实进货验收制度发现一次扣1分/次，进货台账不齐全和登记不符合要求扣0.5分/次/品种；采购变质、有毒、含违禁添加剂、过期等有害食品扣3-5分/品种/次。情节严重报行政主管部门或公安机关处理。</w:t>
            </w:r>
          </w:p>
        </w:tc>
        <w:tc>
          <w:tcPr>
            <w:tcW w:w="100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rPr>
                <w:rFonts w:asciiTheme="minorEastAsia" w:hAnsiTheme="minorEastAsia" w:eastAsiaTheme="minorEastAsia"/>
                <w:b/>
                <w:sz w:val="24"/>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食堂各类设施设备要做好有效维护管理，必要时应更新相关设施设备。设施设备故障无及时维修及做好安全防护的，扣3-5分/件。</w:t>
            </w:r>
          </w:p>
        </w:tc>
        <w:tc>
          <w:tcPr>
            <w:tcW w:w="100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c>
          <w:tcPr>
            <w:tcW w:w="992" w:type="dxa"/>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rPr>
                <w:rFonts w:asciiTheme="minorEastAsia" w:hAnsiTheme="minorEastAsia" w:eastAsiaTheme="minorEastAsia"/>
                <w:b/>
                <w:sz w:val="24"/>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积极配合医院各项迎检及重大活动任务，不配合或消极配合，扣2-4分。</w:t>
            </w:r>
          </w:p>
        </w:tc>
        <w:tc>
          <w:tcPr>
            <w:tcW w:w="100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c>
          <w:tcPr>
            <w:tcW w:w="992" w:type="dxa"/>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rPr>
                <w:rFonts w:asciiTheme="minorEastAsia" w:hAnsiTheme="minorEastAsia" w:eastAsiaTheme="minorEastAsia"/>
                <w:b/>
                <w:sz w:val="24"/>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需提高基本标准餐单售价，需向出租方提交书面申请，经同意后方能调整。未经批准擅自提价的扣2-4分/品种。</w:t>
            </w:r>
          </w:p>
        </w:tc>
        <w:tc>
          <w:tcPr>
            <w:tcW w:w="100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c>
          <w:tcPr>
            <w:tcW w:w="992" w:type="dxa"/>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4"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rPr>
                <w:rFonts w:asciiTheme="minorEastAsia" w:hAnsiTheme="minorEastAsia" w:eastAsiaTheme="minorEastAsia"/>
                <w:b/>
                <w:sz w:val="24"/>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无按要求落实食品添加剂五专管理，扣2-4分。</w:t>
            </w:r>
          </w:p>
        </w:tc>
        <w:tc>
          <w:tcPr>
            <w:tcW w:w="100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c>
          <w:tcPr>
            <w:tcW w:w="992" w:type="dxa"/>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restart"/>
            <w:vAlign w:val="center"/>
          </w:tcPr>
          <w:p>
            <w:pPr>
              <w:keepNext w:val="0"/>
              <w:keepLines w:val="0"/>
              <w:suppressLineNumbers w:val="0"/>
              <w:adjustRightInd w:val="0"/>
              <w:snapToGrid w:val="0"/>
              <w:spacing w:before="0" w:beforeLines="50" w:beforeAutospacing="0" w:after="0" w:afterAutospacing="0" w:line="360" w:lineRule="auto"/>
              <w:ind w:left="0" w:right="0"/>
              <w:rPr>
                <w:rFonts w:asciiTheme="minorEastAsia" w:hAnsiTheme="minorEastAsia" w:eastAsiaTheme="minorEastAsia"/>
                <w:szCs w:val="21"/>
              </w:rPr>
            </w:pPr>
            <w:r>
              <w:rPr>
                <w:rFonts w:hint="eastAsia" w:asciiTheme="minorEastAsia" w:hAnsiTheme="minorEastAsia" w:eastAsiaTheme="minorEastAsia"/>
                <w:szCs w:val="21"/>
              </w:rPr>
              <w:t>食品储存、冷冻冷藏管理（10分）</w:t>
            </w:r>
          </w:p>
        </w:tc>
        <w:tc>
          <w:tcPr>
            <w:tcW w:w="5514"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要求分类及登记、离地离墙、防鼠防蟑螂、有标识、先后顺序等仓储管理制度存放，不符合要求扣0.5-1分/品种</w:t>
            </w:r>
          </w:p>
        </w:tc>
        <w:tc>
          <w:tcPr>
            <w:tcW w:w="100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c>
          <w:tcPr>
            <w:tcW w:w="992" w:type="dxa"/>
            <w:vMerge w:val="restart"/>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jc w:val="center"/>
              <w:rPr>
                <w:rFonts w:asciiTheme="minorEastAsia" w:hAnsiTheme="minorEastAsia" w:eastAsiaTheme="minorEastAsia"/>
                <w:b/>
                <w:sz w:val="24"/>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食品及食品容器与其他物品混放，食品无按规定密封及存储，扣1-2分/次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jc w:val="center"/>
              <w:rPr>
                <w:rFonts w:asciiTheme="minorEastAsia" w:hAnsiTheme="minorEastAsia" w:eastAsiaTheme="minorEastAsia"/>
                <w:b/>
                <w:sz w:val="24"/>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冰柜冰库存放的食品原料、半成品、成品等分类放置有标识，不得混放，发现混放扣1分/次；保持清洁卫生、定期除霜，发现不符合卫生扣0.5-1分/次，每天检查记录保持温度在正常范围，缺一次扣0.5分，温度不达到要求扣1分/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b/>
                <w:sz w:val="24"/>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4"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jc w:val="center"/>
              <w:rPr>
                <w:rFonts w:asciiTheme="minorEastAsia" w:hAnsiTheme="minorEastAsia" w:eastAsiaTheme="minorEastAsia"/>
                <w:b/>
                <w:sz w:val="24"/>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发现变质食品或过期或再回收食品供应扣3-5分/次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restart"/>
            <w:vAlign w:val="center"/>
          </w:tcPr>
          <w:p>
            <w:pPr>
              <w:keepNext w:val="0"/>
              <w:keepLines w:val="0"/>
              <w:suppressLineNumbers w:val="0"/>
              <w:adjustRightInd w:val="0"/>
              <w:snapToGrid w:val="0"/>
              <w:spacing w:before="0" w:beforeLines="50" w:beforeAutospacing="0" w:after="0" w:afterAutospacing="0" w:line="360" w:lineRule="auto"/>
              <w:ind w:left="0" w:right="0"/>
              <w:rPr>
                <w:rFonts w:asciiTheme="minorEastAsia" w:hAnsiTheme="minorEastAsia" w:eastAsiaTheme="minorEastAsia"/>
                <w:szCs w:val="21"/>
              </w:rPr>
            </w:pPr>
            <w:r>
              <w:rPr>
                <w:rFonts w:hint="eastAsia" w:asciiTheme="minorEastAsia" w:hAnsiTheme="minorEastAsia" w:eastAsiaTheme="minorEastAsia"/>
                <w:szCs w:val="21"/>
              </w:rPr>
              <w:t>配餐间管理（10分）</w:t>
            </w: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进入配餐间前须洗消双手、更换专间工衣、戴口罩帽，不得穿专间工衣从事与专间无关工作，违规扣1分/次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b/>
                <w:sz w:val="72"/>
                <w:szCs w:val="21"/>
              </w:rPr>
            </w:pPr>
          </w:p>
        </w:tc>
        <w:tc>
          <w:tcPr>
            <w:tcW w:w="992" w:type="dxa"/>
            <w:vMerge w:val="restart"/>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7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jc w:val="center"/>
              <w:rPr>
                <w:rFonts w:asciiTheme="minorEastAsia" w:hAnsiTheme="minorEastAsia" w:eastAsiaTheme="minorEastAsia"/>
                <w:b/>
                <w:sz w:val="72"/>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出入配餐间、传递窗必须随手关门窗，违规扣1分/人次，发现直接从预进间传递食品或非专间人员违规进入专间扣1分/次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b/>
                <w:sz w:val="24"/>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134"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jc w:val="center"/>
              <w:rPr>
                <w:rFonts w:asciiTheme="minorEastAsia" w:hAnsiTheme="minorEastAsia" w:eastAsiaTheme="minorEastAsia"/>
                <w:b/>
                <w:sz w:val="24"/>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每次配餐结束全面清洁保持洁净无污迹和积水，不符合要求扣1分/次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1134"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jc w:val="center"/>
              <w:rPr>
                <w:rFonts w:asciiTheme="minorEastAsia" w:hAnsiTheme="minorEastAsia" w:eastAsiaTheme="minorEastAsia"/>
                <w:b/>
                <w:sz w:val="24"/>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保持室温25度以下，每天空气消毒和登记，紫外线光管使用时间不超规定时间或保证有效强度，不符合要求扣1分/次，配餐间内存有不合要求物品扣1分/次。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34" w:type="dxa"/>
            <w:vMerge w:val="continue"/>
            <w:vAlign w:val="center"/>
          </w:tcPr>
          <w:p>
            <w:pPr>
              <w:keepNext w:val="0"/>
              <w:keepLines w:val="0"/>
              <w:suppressLineNumbers w:val="0"/>
              <w:adjustRightInd w:val="0"/>
              <w:snapToGrid w:val="0"/>
              <w:spacing w:before="0" w:beforeLines="50" w:beforeAutospacing="0" w:after="0" w:afterAutospacing="0" w:line="360" w:lineRule="auto"/>
              <w:ind w:left="0" w:right="0"/>
              <w:jc w:val="center"/>
              <w:rPr>
                <w:rFonts w:asciiTheme="minorEastAsia" w:hAnsiTheme="minorEastAsia" w:eastAsiaTheme="minorEastAsia"/>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违反配餐间其他管理规定，扣1-3分/次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992" w:type="dxa"/>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1134" w:type="dxa"/>
            <w:vMerge w:val="restart"/>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r>
              <w:rPr>
                <w:rFonts w:hint="eastAsia" w:asciiTheme="minorEastAsia" w:hAnsiTheme="minorEastAsia" w:eastAsiaTheme="minorEastAsia"/>
                <w:szCs w:val="21"/>
              </w:rPr>
              <w:t>留样及农药检测</w:t>
            </w:r>
          </w:p>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r>
              <w:rPr>
                <w:rFonts w:hint="eastAsia" w:asciiTheme="minorEastAsia" w:hAnsiTheme="minorEastAsia" w:eastAsiaTheme="minorEastAsia"/>
                <w:szCs w:val="21"/>
              </w:rPr>
              <w:t>（5分）</w:t>
            </w: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留样品种不全或留样量少于125克/品种或记录不全或不及时、保存不标准等不规范行为扣0.5分/品种/次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992" w:type="dxa"/>
            <w:vMerge w:val="restart"/>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134"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蔬菜每批次检测并记录，不检测或无记录，无每周送桥南街食安办检测扣1分/批次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restart"/>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r>
              <w:rPr>
                <w:rFonts w:hint="eastAsia" w:asciiTheme="minorEastAsia" w:hAnsiTheme="minorEastAsia" w:eastAsiaTheme="minorEastAsia"/>
                <w:szCs w:val="21"/>
              </w:rPr>
              <w:t>食品卫生</w:t>
            </w:r>
          </w:p>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r>
              <w:rPr>
                <w:rFonts w:hint="eastAsia" w:asciiTheme="minorEastAsia" w:hAnsiTheme="minorEastAsia" w:eastAsiaTheme="minorEastAsia"/>
                <w:szCs w:val="21"/>
              </w:rPr>
              <w:t>（15分）</w:t>
            </w:r>
          </w:p>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72"/>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饭菜有异物（头发、苍蝇、蟑螂、鼠屎、钢丝等）扣2分/人次，饭菜变质或有异味扣2分/人次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992" w:type="dxa"/>
            <w:vMerge w:val="restart"/>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送餐或外卖不符合卫生要求（运送工具、人员等）扣0.5-1分/人次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不按洁污流程、分区分类处理用后餐具扣1分/次，餐具洗消不符合洗消流程和卫生要求扣1分/次，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员工餐具与病人用餐具不分开扣1分/次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洗消后餐具及其消毒柜外观不洁净扣0.5分/件，餐具消毒记录缺填扣0.5分/次。无按要求落实餐车紫外线消毒或记录登记不全，扣1分/次。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一次性清洁餐具放置地上或与其他杂物混放或包装残旧扣0.5-1分/次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餐具保洁柜除放置洗消后餐具和去外包装后一次性餐具外不得混放其他物品，保持清洁卫生，发现不符合要求扣1分/次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其他不符合食品卫生管理及操作的行为，扣1分/次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992" w:type="dxa"/>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restart"/>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r>
              <w:rPr>
                <w:rFonts w:hint="eastAsia" w:asciiTheme="minorEastAsia" w:hAnsiTheme="minorEastAsia" w:eastAsiaTheme="minorEastAsia"/>
                <w:szCs w:val="21"/>
              </w:rPr>
              <w:t>环境卫生（20分）</w:t>
            </w:r>
          </w:p>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72"/>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储物柜、工作台、饮水机、炉具、地面、门窗、天花、排水渠、办公室、更衣室、垃圾处理、清洁用具等环境卫生一处不符合清洁卫生和食品卫生要求扣0.5-1分/处</w:t>
            </w:r>
          </w:p>
        </w:tc>
        <w:tc>
          <w:tcPr>
            <w:tcW w:w="1007" w:type="dxa"/>
            <w:vAlign w:val="center"/>
          </w:tcPr>
          <w:p>
            <w:pPr>
              <w:keepNext w:val="0"/>
              <w:keepLines w:val="0"/>
              <w:suppressLineNumbers w:val="0"/>
              <w:adjustRightInd w:val="0"/>
              <w:snapToGrid w:val="0"/>
              <w:spacing w:before="0" w:beforeLines="50" w:beforeAutospacing="0" w:after="0" w:afterAutospacing="0" w:line="220" w:lineRule="exact"/>
              <w:ind w:left="0" w:right="0"/>
              <w:rPr>
                <w:rFonts w:asciiTheme="minorEastAsia" w:hAnsiTheme="minorEastAsia" w:eastAsiaTheme="minorEastAsia"/>
                <w:szCs w:val="21"/>
              </w:rPr>
            </w:pPr>
          </w:p>
        </w:tc>
        <w:tc>
          <w:tcPr>
            <w:tcW w:w="992" w:type="dxa"/>
            <w:vMerge w:val="restart"/>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餐厅、食品处理区对外门窗敞开不关、有苍蝇等其他蚊虫扣0.5-1分/次/间。食堂内发现老鼠、鼠屎、鼠迹扣1-2分 /处或间，发现蟑螂或蟑螂屎扣0.5-1分/处或间。</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食堂内所有对外门窗应设防鼠、蝇、蟑螂纱窗、防鼠板等防四害设施，出入关闭，所有排水沟渠、入墙管口、缝隙必须安装防鼠防蟑螂设施，无设施、设施破损或有设施不执行扣1分/处或次。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无定期开展除四害消杀或消杀不规范，扣1-3分/次。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门窗、地板不定期清洁扣1分/间，用后餐具、剩饭菜不及时清理扣0.5分/次，餐台凳有污迹扣0.5分/张</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restart"/>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r>
              <w:rPr>
                <w:rFonts w:hint="eastAsia" w:asciiTheme="minorEastAsia" w:hAnsiTheme="minorEastAsia" w:eastAsiaTheme="minorEastAsia"/>
                <w:szCs w:val="21"/>
              </w:rPr>
              <w:t>从业人员健康管理及个人卫生</w:t>
            </w:r>
          </w:p>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r>
              <w:rPr>
                <w:rFonts w:hint="eastAsia" w:asciiTheme="minorEastAsia" w:hAnsiTheme="minorEastAsia" w:eastAsiaTheme="minorEastAsia"/>
                <w:szCs w:val="21"/>
              </w:rPr>
              <w:t>（10分）</w:t>
            </w:r>
          </w:p>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72"/>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每年进行健康检查并取得健康证，无证上岗扣5分/人，过期扣3分/人</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992" w:type="dxa"/>
            <w:vMerge w:val="restart"/>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每天进行“五病”症状自查，无自查和记录扣0.5分/人，发现带病（五病）上班扣2分/人/天</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工作人员衣帽整洁、接触食物要规范戴口罩、帽子，长发要束起，接触直接入口的操作人员在处理食物前、接触生食或受污染物体后、使用卫生间后必须洗手，不符合要求扣0.5分/人次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食品处理区与外卖或送餐人员工衣要分开，不得穿外卖工衣进入食品处理区；不符合要求扣0.5分/人次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食品处理区工作人员上洗手间前后要更衣、洗消双手，不符合要求扣0.5分/人次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食品处理区发现私人物品扣0.5分/人次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发现在食品处理区吸烟、饮食等扣1分/人次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发现其他不符合从业人员卫生管理要求的扣0.5-1分/次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restart"/>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r>
              <w:rPr>
                <w:rFonts w:hint="eastAsia" w:asciiTheme="minorEastAsia" w:hAnsiTheme="minorEastAsia" w:eastAsiaTheme="minorEastAsia"/>
                <w:szCs w:val="21"/>
              </w:rPr>
              <w:t>餐厨废弃物处置</w:t>
            </w:r>
          </w:p>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72"/>
                <w:szCs w:val="21"/>
              </w:rPr>
            </w:pPr>
            <w:r>
              <w:rPr>
                <w:rFonts w:hint="eastAsia" w:asciiTheme="minorEastAsia" w:hAnsiTheme="minorEastAsia" w:eastAsiaTheme="minorEastAsia"/>
                <w:szCs w:val="21"/>
              </w:rPr>
              <w:t>（5分）</w:t>
            </w: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餐厨废弃物（食堂集水井污油、剩饭菜）不得交给无资质公司或个人处理，不得用于违法违规用途，应与接收单位或个人签署合同并提交我院备案，不符合要求扣2分/项/月</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992" w:type="dxa"/>
            <w:vMerge w:val="restart"/>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按要求配置垃圾分类桶和执行分类垃圾收运及减排措施，做好隔油池及工作场所内的集水井的清洁、维护。厨余垃圾日产日清，每天清洗暂存处及垃圾桶，食堂集水井每周清理不少于两次，保持环境清洁卫生，不符合要求扣0.5-1分/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废弃包装箱或纸皮等日产日清，发现乱堆乱摆不及时清理扣0.5分/次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4" w:type="dxa"/>
            <w:vMerge w:val="restart"/>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r>
              <w:rPr>
                <w:rFonts w:hint="eastAsia" w:asciiTheme="minorEastAsia" w:hAnsiTheme="minorEastAsia" w:eastAsiaTheme="minorEastAsia"/>
                <w:szCs w:val="21"/>
              </w:rPr>
              <w:t>餐饮供应服务</w:t>
            </w:r>
          </w:p>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r>
              <w:rPr>
                <w:rFonts w:hint="eastAsia" w:asciiTheme="minorEastAsia" w:hAnsiTheme="minorEastAsia" w:eastAsiaTheme="minorEastAsia"/>
                <w:szCs w:val="21"/>
              </w:rPr>
              <w:t>（10分）</w:t>
            </w:r>
          </w:p>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b/>
                <w:sz w:val="72"/>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宋体" w:hAnsi="宋体" w:cs="宋体"/>
                <w:szCs w:val="21"/>
              </w:rPr>
              <w:t>在甲方指定时间内完成各项订餐送餐服务，</w:t>
            </w:r>
            <w:r>
              <w:rPr>
                <w:rFonts w:hint="eastAsia" w:asciiTheme="minorEastAsia" w:hAnsiTheme="minorEastAsia" w:eastAsiaTheme="minorEastAsia"/>
                <w:szCs w:val="21"/>
              </w:rPr>
              <w:t>不按时送</w:t>
            </w:r>
            <w:r>
              <w:rPr>
                <w:rFonts w:asciiTheme="minorEastAsia" w:hAnsiTheme="minorEastAsia" w:eastAsiaTheme="minorEastAsia"/>
                <w:szCs w:val="21"/>
              </w:rPr>
              <w:t>达的</w:t>
            </w:r>
            <w:r>
              <w:rPr>
                <w:rFonts w:hint="eastAsia" w:asciiTheme="minorEastAsia" w:hAnsiTheme="minorEastAsia" w:eastAsiaTheme="minorEastAsia"/>
                <w:szCs w:val="21"/>
              </w:rPr>
              <w:t>扣0.5-1分/次，餐厅不按服务时间提供餐饮扣0.5-1分/次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992" w:type="dxa"/>
            <w:vMerge w:val="restart"/>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订餐无人接听或落实、送餐货不对板、送餐送错地址等被投诉属实员工餐扣1分/人次，团体餐或病人餐扣2分/人次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饭菜冷、生或变质被投诉属实扣0.5分/次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发现或被投诉服务态度差或拒绝电子支付扣2分/人次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餐具不及时回收影响环境卫生扣0.5分/次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不按指定地点、时间和卫生管理要求乱摆卖等扣1分/次，乱摆卖达3次或以上暂停临时售卖点1个星期，达5次或以上暂停1个月，屡禁不止或外卖车不符合卫生要求取消临时售卖服务</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992" w:type="dxa"/>
            <w:vMerge w:val="continue"/>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配合医院做好各项应急供餐和上级交办餐饮相关任务，要具备随时提供每餐3500人次以上特殊应急供餐的能力，未按要求完成扣2-5分/次。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992" w:type="dxa"/>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上级或院方组织的员工及病患者满意度评价，低于80分，或不满意具体意见重复反映2次以上仍未整改的，扣2-5分。</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992" w:type="dxa"/>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restart"/>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r>
              <w:rPr>
                <w:rFonts w:hint="eastAsia" w:asciiTheme="minorEastAsia" w:hAnsiTheme="minorEastAsia" w:eastAsiaTheme="minorEastAsia"/>
                <w:szCs w:val="21"/>
              </w:rPr>
              <w:t>其他</w:t>
            </w:r>
          </w:p>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占用急救电梯、挪用或损坏消防器材、造成其他安全隐患扣2-5分/次，或违反医院管理制度及规定，扣3分/次。</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992" w:type="dxa"/>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p>
        </w:tc>
        <w:tc>
          <w:tcPr>
            <w:tcW w:w="5514" w:type="dxa"/>
            <w:vAlign w:val="center"/>
          </w:tcPr>
          <w:p>
            <w:pPr>
              <w:keepNext w:val="0"/>
              <w:keepLines w:val="0"/>
              <w:suppressLineNumbers w:val="0"/>
              <w:adjustRightInd w:val="0"/>
              <w:snapToGrid w:val="0"/>
              <w:spacing w:before="0" w:beforeLines="50" w:beforeAutospacing="0" w:after="0" w:afterAutospacing="0"/>
              <w:ind w:left="0" w:right="0"/>
              <w:jc w:val="left"/>
              <w:rPr>
                <w:rFonts w:asciiTheme="minorEastAsia" w:hAnsiTheme="minorEastAsia" w:eastAsiaTheme="minorEastAsia"/>
                <w:szCs w:val="21"/>
              </w:rPr>
            </w:pPr>
            <w:r>
              <w:rPr>
                <w:rFonts w:hint="eastAsia" w:asciiTheme="minorEastAsia" w:hAnsiTheme="minorEastAsia" w:eastAsiaTheme="minorEastAsia"/>
                <w:szCs w:val="21"/>
              </w:rPr>
              <w:t>餐饮、食材及副食品销售等的特色增值服务，没做到优价优质，或整体服务及质量低于社会上品牌餐饮企业和零售超市的平均服务水平的，扣1-3分。</w:t>
            </w: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c>
          <w:tcPr>
            <w:tcW w:w="992" w:type="dxa"/>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keepNext w:val="0"/>
              <w:keepLines w:val="0"/>
              <w:suppressLineNumbers w:val="0"/>
              <w:adjustRightInd w:val="0"/>
              <w:snapToGrid w:val="0"/>
              <w:spacing w:before="0" w:beforeLines="50" w:beforeAutospacing="0" w:after="0" w:afterAutospacing="0"/>
              <w:ind w:left="0" w:right="0"/>
              <w:jc w:val="center"/>
              <w:rPr>
                <w:rFonts w:asciiTheme="minorEastAsia" w:hAnsiTheme="minorEastAsia" w:eastAsiaTheme="minorEastAsia"/>
                <w:szCs w:val="21"/>
              </w:rPr>
            </w:pPr>
            <w:r>
              <w:rPr>
                <w:rFonts w:hint="eastAsia" w:asciiTheme="minorEastAsia" w:hAnsiTheme="minorEastAsia" w:eastAsiaTheme="minorEastAsia"/>
                <w:szCs w:val="21"/>
              </w:rPr>
              <w:t>合计</w:t>
            </w:r>
          </w:p>
        </w:tc>
        <w:tc>
          <w:tcPr>
            <w:tcW w:w="5514"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b/>
                <w:sz w:val="72"/>
                <w:szCs w:val="21"/>
              </w:rPr>
            </w:pPr>
          </w:p>
        </w:tc>
        <w:tc>
          <w:tcPr>
            <w:tcW w:w="1007" w:type="dxa"/>
            <w:vAlign w:val="center"/>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b/>
                <w:sz w:val="72"/>
                <w:szCs w:val="21"/>
              </w:rPr>
            </w:pPr>
          </w:p>
        </w:tc>
        <w:tc>
          <w:tcPr>
            <w:tcW w:w="992" w:type="dxa"/>
          </w:tcPr>
          <w:p>
            <w:pPr>
              <w:keepNext w:val="0"/>
              <w:keepLines w:val="0"/>
              <w:suppressLineNumbers w:val="0"/>
              <w:adjustRightInd w:val="0"/>
              <w:snapToGrid w:val="0"/>
              <w:spacing w:before="0" w:beforeLines="50" w:beforeAutospacing="0" w:after="0" w:afterAutospacing="0"/>
              <w:ind w:left="0" w:right="0"/>
              <w:rPr>
                <w:rFonts w:asciiTheme="minorEastAsia" w:hAnsiTheme="minorEastAsia" w:eastAsiaTheme="minorEastAsia"/>
                <w:b/>
                <w:color w:val="FF0000"/>
                <w:sz w:val="72"/>
                <w:szCs w:val="21"/>
              </w:rPr>
            </w:pPr>
          </w:p>
        </w:tc>
      </w:tr>
    </w:tbl>
    <w:p>
      <w:pPr>
        <w:rPr>
          <w:rFonts w:asciiTheme="minorEastAsia" w:hAnsiTheme="minorEastAsia" w:eastAsiaTheme="minorEastAsia"/>
          <w:szCs w:val="21"/>
        </w:rPr>
        <w:sectPr>
          <w:headerReference r:id="rId12" w:type="default"/>
          <w:footerReference r:id="rId13" w:type="default"/>
          <w:pgSz w:w="11906" w:h="16839"/>
          <w:pgMar w:top="1455" w:right="1324" w:bottom="1362" w:left="1638" w:header="917" w:footer="1202" w:gutter="0"/>
          <w:cols w:space="720" w:num="1"/>
        </w:sectPr>
      </w:pPr>
    </w:p>
    <w:p>
      <w:pPr>
        <w:pStyle w:val="185"/>
        <w:spacing w:before="360"/>
        <w:ind w:left="-2" w:leftChars="-270" w:hanging="565" w:hangingChars="201"/>
        <w:jc w:val="center"/>
        <w:rPr>
          <w:rStyle w:val="50"/>
          <w:rFonts w:ascii="宋体" w:hAnsi="宋体"/>
          <w:b/>
        </w:rPr>
      </w:pPr>
      <w:bookmarkStart w:id="35" w:name="_Toc121326171"/>
      <w:r>
        <w:rPr>
          <w:rStyle w:val="50"/>
          <w:rFonts w:hint="eastAsia" w:ascii="宋体" w:hAnsi="宋体"/>
          <w:b/>
        </w:rPr>
        <w:t>第五章  投标文件格式</w:t>
      </w:r>
      <w:bookmarkEnd w:id="34"/>
      <w:bookmarkEnd w:id="35"/>
    </w:p>
    <w:p>
      <w:pPr>
        <w:spacing w:after="60" w:line="360" w:lineRule="auto"/>
        <w:jc w:val="center"/>
        <w:rPr>
          <w:rFonts w:ascii="宋体" w:hAnsi="宋体"/>
        </w:rPr>
      </w:pPr>
    </w:p>
    <w:p>
      <w:pPr>
        <w:spacing w:after="60" w:line="360" w:lineRule="auto"/>
        <w:jc w:val="center"/>
        <w:rPr>
          <w:rFonts w:ascii="宋体" w:hAnsi="宋体"/>
        </w:rPr>
      </w:pPr>
    </w:p>
    <w:p>
      <w:pPr>
        <w:spacing w:after="60" w:line="360" w:lineRule="auto"/>
        <w:jc w:val="center"/>
        <w:rPr>
          <w:rFonts w:ascii="宋体" w:hAnsi="宋体"/>
        </w:rPr>
      </w:pPr>
    </w:p>
    <w:p>
      <w:pPr>
        <w:spacing w:after="60" w:line="360" w:lineRule="auto"/>
        <w:jc w:val="center"/>
        <w:rPr>
          <w:rFonts w:ascii="宋体" w:hAnsi="宋体"/>
          <w:b/>
          <w:bCs/>
          <w:sz w:val="72"/>
          <w:szCs w:val="72"/>
        </w:rPr>
      </w:pPr>
      <w:r>
        <w:rPr>
          <w:rFonts w:hint="eastAsia" w:ascii="宋体" w:hAnsi="宋体"/>
          <w:b/>
          <w:bCs/>
          <w:sz w:val="72"/>
          <w:szCs w:val="72"/>
        </w:rPr>
        <w:t>投 标 文 件</w:t>
      </w:r>
    </w:p>
    <w:p>
      <w:pPr>
        <w:pStyle w:val="22"/>
        <w:spacing w:line="360" w:lineRule="auto"/>
        <w:jc w:val="center"/>
        <w:rPr>
          <w:rFonts w:hAnsi="宋体"/>
          <w:b/>
          <w:sz w:val="44"/>
          <w:szCs w:val="44"/>
        </w:rPr>
      </w:pPr>
      <w:r>
        <w:rPr>
          <w:rFonts w:hint="eastAsia" w:hAnsi="宋体"/>
          <w:b/>
          <w:sz w:val="44"/>
          <w:szCs w:val="44"/>
        </w:rPr>
        <w:t>（正本/副本）</w:t>
      </w:r>
    </w:p>
    <w:p>
      <w:pPr>
        <w:spacing w:after="60"/>
        <w:jc w:val="center"/>
        <w:rPr>
          <w:rFonts w:ascii="宋体" w:hAnsi="宋体"/>
          <w:b/>
          <w:bCs/>
          <w:sz w:val="72"/>
          <w:szCs w:val="72"/>
        </w:rPr>
      </w:pPr>
    </w:p>
    <w:p>
      <w:pPr>
        <w:spacing w:after="60"/>
        <w:jc w:val="center"/>
        <w:rPr>
          <w:rFonts w:ascii="宋体" w:hAnsi="宋体"/>
          <w:b/>
          <w:bCs/>
          <w:sz w:val="72"/>
          <w:szCs w:val="72"/>
        </w:rPr>
      </w:pPr>
    </w:p>
    <w:p>
      <w:pPr>
        <w:spacing w:after="60"/>
        <w:rPr>
          <w:rFonts w:ascii="宋体" w:hAnsi="宋体"/>
          <w:b/>
          <w:bCs/>
          <w:sz w:val="72"/>
          <w:szCs w:val="72"/>
        </w:rPr>
      </w:pPr>
    </w:p>
    <w:p>
      <w:pPr>
        <w:spacing w:after="60"/>
        <w:rPr>
          <w:rFonts w:ascii="宋体" w:hAnsi="宋体"/>
          <w:b/>
          <w:bCs/>
          <w:sz w:val="72"/>
          <w:szCs w:val="72"/>
        </w:rPr>
      </w:pPr>
    </w:p>
    <w:p>
      <w:pPr>
        <w:spacing w:after="60" w:line="480" w:lineRule="auto"/>
        <w:ind w:left="1543" w:leftChars="171" w:hanging="1184" w:hangingChars="383"/>
        <w:rPr>
          <w:rFonts w:ascii="宋体" w:hAnsi="宋体"/>
          <w:b/>
          <w:sz w:val="32"/>
          <w:szCs w:val="32"/>
          <w:u w:val="single"/>
        </w:rPr>
      </w:pPr>
      <w:bookmarkStart w:id="36" w:name="_Toc398196981"/>
      <w:bookmarkStart w:id="37" w:name="_Toc399233861"/>
      <w:bookmarkStart w:id="38" w:name="_Toc398196952"/>
      <w:bookmarkStart w:id="39" w:name="_Toc399169328"/>
      <w:bookmarkStart w:id="40" w:name="_Toc398111569"/>
      <w:r>
        <w:rPr>
          <w:rFonts w:hint="eastAsia" w:ascii="宋体" w:hAnsi="宋体"/>
          <w:b/>
          <w:bCs/>
          <w:spacing w:val="-6"/>
          <w:sz w:val="32"/>
          <w:szCs w:val="32"/>
        </w:rPr>
        <w:t xml:space="preserve">项目名称: </w:t>
      </w:r>
      <w:r>
        <w:rPr>
          <w:rFonts w:hint="eastAsia" w:ascii="宋体" w:hAnsi="宋体"/>
          <w:szCs w:val="21"/>
          <w:u w:val="single"/>
        </w:rPr>
        <w:t>　　　　　　　　　　</w:t>
      </w:r>
      <w:r>
        <w:rPr>
          <w:rFonts w:hint="eastAsia" w:ascii="宋体" w:hAnsi="宋体"/>
          <w:b/>
          <w:szCs w:val="21"/>
          <w:u w:val="single"/>
        </w:rPr>
        <w:t xml:space="preserve">　　　　　　    　　　　　　　       　               </w:t>
      </w:r>
    </w:p>
    <w:p>
      <w:pPr>
        <w:spacing w:after="60" w:line="480" w:lineRule="auto"/>
        <w:ind w:left="1589" w:leftChars="171" w:hanging="1230" w:hangingChars="383"/>
        <w:rPr>
          <w:rFonts w:ascii="宋体" w:hAnsi="宋体"/>
          <w:b/>
          <w:bCs/>
          <w:sz w:val="32"/>
          <w:szCs w:val="32"/>
          <w:u w:val="single"/>
        </w:rPr>
      </w:pPr>
      <w:r>
        <w:rPr>
          <w:rFonts w:hint="eastAsia" w:ascii="宋体" w:hAnsi="宋体"/>
          <w:b/>
          <w:bCs/>
          <w:sz w:val="32"/>
          <w:szCs w:val="32"/>
        </w:rPr>
        <w:t>项目编号：</w:t>
      </w:r>
      <w:r>
        <w:rPr>
          <w:rFonts w:hint="eastAsia" w:ascii="宋体" w:hAnsi="宋体"/>
          <w:szCs w:val="21"/>
          <w:u w:val="single"/>
        </w:rPr>
        <w:t>　　　　　　　　　　</w:t>
      </w:r>
      <w:r>
        <w:rPr>
          <w:rFonts w:hint="eastAsia" w:ascii="宋体" w:hAnsi="宋体"/>
          <w:b/>
          <w:szCs w:val="21"/>
          <w:u w:val="single"/>
        </w:rPr>
        <w:t xml:space="preserve">　　　　　　    　　　　　　　       　             </w:t>
      </w:r>
    </w:p>
    <w:p>
      <w:pPr>
        <w:spacing w:after="60" w:line="480" w:lineRule="auto"/>
        <w:ind w:left="1589" w:leftChars="171" w:hanging="1230" w:hangingChars="383"/>
        <w:rPr>
          <w:rFonts w:ascii="宋体" w:hAnsi="宋体"/>
          <w:b/>
          <w:sz w:val="32"/>
          <w:szCs w:val="32"/>
        </w:rPr>
      </w:pPr>
      <w:r>
        <w:rPr>
          <w:rFonts w:hint="eastAsia" w:ascii="宋体" w:hAnsi="宋体"/>
          <w:b/>
          <w:sz w:val="32"/>
          <w:szCs w:val="32"/>
        </w:rPr>
        <w:t>投标人全称（盖公章）：</w:t>
      </w:r>
      <w:r>
        <w:rPr>
          <w:rFonts w:hint="eastAsia" w:ascii="宋体" w:hAnsi="宋体"/>
          <w:szCs w:val="21"/>
          <w:u w:val="single"/>
        </w:rPr>
        <w:t>　　　　　　　　　　</w:t>
      </w:r>
      <w:r>
        <w:rPr>
          <w:rFonts w:hint="eastAsia" w:ascii="宋体" w:hAnsi="宋体"/>
          <w:b/>
          <w:szCs w:val="21"/>
          <w:u w:val="single"/>
        </w:rPr>
        <w:t xml:space="preserve">　　　　　　    　　　　　　　   </w:t>
      </w:r>
    </w:p>
    <w:p>
      <w:pPr>
        <w:ind w:left="1589" w:leftChars="171" w:hanging="1230" w:hangingChars="383"/>
        <w:rPr>
          <w:rFonts w:ascii="宋体" w:hAnsi="宋体"/>
          <w:b/>
          <w:sz w:val="32"/>
          <w:szCs w:val="32"/>
          <w:u w:val="single"/>
        </w:rPr>
      </w:pPr>
      <w:r>
        <w:rPr>
          <w:rFonts w:hint="eastAsia" w:ascii="宋体" w:hAnsi="宋体"/>
          <w:b/>
          <w:sz w:val="32"/>
          <w:szCs w:val="32"/>
        </w:rPr>
        <w:t>法定代表人（或授权代表）：</w:t>
      </w:r>
      <w:r>
        <w:rPr>
          <w:rFonts w:hint="eastAsia" w:ascii="宋体" w:hAnsi="宋体"/>
          <w:szCs w:val="21"/>
          <w:u w:val="single"/>
        </w:rPr>
        <w:t>　　　　　　　　　　</w:t>
      </w:r>
      <w:r>
        <w:rPr>
          <w:rFonts w:hint="eastAsia" w:ascii="宋体" w:hAnsi="宋体"/>
          <w:b/>
          <w:szCs w:val="21"/>
          <w:u w:val="single"/>
        </w:rPr>
        <w:t xml:space="preserve">　　　　　　    　　　　　　 </w:t>
      </w:r>
    </w:p>
    <w:p>
      <w:pPr>
        <w:ind w:left="1589" w:leftChars="171" w:hanging="1230" w:hangingChars="383"/>
        <w:rPr>
          <w:rFonts w:ascii="宋体" w:hAnsi="宋体"/>
          <w:b/>
          <w:sz w:val="32"/>
          <w:szCs w:val="32"/>
        </w:rPr>
      </w:pPr>
      <w:r>
        <w:rPr>
          <w:rFonts w:hint="eastAsia" w:ascii="宋体" w:hAnsi="宋体"/>
          <w:b/>
          <w:sz w:val="32"/>
          <w:szCs w:val="32"/>
        </w:rPr>
        <w:t>（</w:t>
      </w:r>
      <w:r>
        <w:rPr>
          <w:rFonts w:hint="eastAsia" w:ascii="宋体" w:hAnsi="宋体"/>
          <w:b/>
          <w:bCs/>
          <w:sz w:val="32"/>
          <w:szCs w:val="32"/>
        </w:rPr>
        <w:t>签字或盖章</w:t>
      </w:r>
      <w:r>
        <w:rPr>
          <w:rFonts w:hint="eastAsia" w:ascii="宋体" w:hAnsi="宋体"/>
          <w:b/>
          <w:sz w:val="32"/>
          <w:szCs w:val="32"/>
        </w:rPr>
        <w:t>）</w:t>
      </w:r>
    </w:p>
    <w:p>
      <w:pPr>
        <w:spacing w:afterLines="1000" w:line="312" w:lineRule="auto"/>
        <w:ind w:firstLine="312" w:firstLineChars="97"/>
        <w:rPr>
          <w:rFonts w:ascii="宋体" w:hAnsi="宋体"/>
          <w:b/>
          <w:sz w:val="32"/>
          <w:szCs w:val="32"/>
          <w:u w:val="single"/>
        </w:rPr>
      </w:pPr>
      <w:r>
        <w:rPr>
          <w:rFonts w:hint="eastAsia" w:ascii="宋体" w:hAnsi="宋体"/>
          <w:b/>
          <w:sz w:val="32"/>
          <w:szCs w:val="32"/>
        </w:rPr>
        <w:t>日    期：</w:t>
      </w:r>
      <w:r>
        <w:rPr>
          <w:rFonts w:hint="eastAsia" w:ascii="宋体" w:hAnsi="宋体"/>
          <w:szCs w:val="21"/>
          <w:u w:val="single"/>
        </w:rPr>
        <w:t>　　　　　　　　　　</w:t>
      </w:r>
      <w:r>
        <w:rPr>
          <w:rFonts w:hint="eastAsia" w:ascii="宋体" w:hAnsi="宋体"/>
          <w:b/>
          <w:szCs w:val="21"/>
          <w:u w:val="single"/>
        </w:rPr>
        <w:t xml:space="preserve">　　　　　　    　　　　　　　       　             </w:t>
      </w:r>
    </w:p>
    <w:p>
      <w:pPr>
        <w:tabs>
          <w:tab w:val="left" w:pos="7980"/>
        </w:tabs>
        <w:jc w:val="left"/>
        <w:rPr>
          <w:rFonts w:ascii="宋体" w:hAnsi="宋体" w:cs="宋体"/>
          <w:b/>
          <w:bCs/>
          <w:kern w:val="0"/>
          <w:szCs w:val="21"/>
        </w:rPr>
      </w:pPr>
      <w:r>
        <w:rPr>
          <w:rFonts w:hint="eastAsia" w:ascii="宋体" w:hAnsi="宋体"/>
          <w:b/>
          <w:szCs w:val="21"/>
        </w:rPr>
        <w:t>一、</w:t>
      </w:r>
      <w:r>
        <w:rPr>
          <w:rFonts w:hint="eastAsia" w:ascii="宋体" w:hAnsi="宋体" w:cs="宋体"/>
          <w:b/>
          <w:bCs/>
          <w:kern w:val="0"/>
          <w:szCs w:val="21"/>
        </w:rPr>
        <w:t>技术商务部分评审索引目录表</w:t>
      </w:r>
    </w:p>
    <w:p>
      <w:pPr>
        <w:rPr>
          <w:rFonts w:ascii="宋体" w:hAnsi="宋体"/>
          <w:b/>
        </w:rPr>
      </w:pPr>
    </w:p>
    <w:p>
      <w:pPr>
        <w:tabs>
          <w:tab w:val="left" w:pos="7980"/>
        </w:tabs>
        <w:ind w:firstLine="561"/>
        <w:jc w:val="center"/>
        <w:rPr>
          <w:rFonts w:ascii="宋体" w:hAnsi="宋体" w:cs="宋体"/>
          <w:b/>
          <w:bCs/>
          <w:kern w:val="0"/>
          <w:sz w:val="28"/>
          <w:szCs w:val="28"/>
        </w:rPr>
      </w:pPr>
      <w:r>
        <w:rPr>
          <w:rFonts w:hint="eastAsia" w:ascii="宋体" w:hAnsi="宋体" w:cs="宋体"/>
          <w:b/>
          <w:bCs/>
          <w:kern w:val="0"/>
          <w:sz w:val="28"/>
          <w:szCs w:val="28"/>
        </w:rPr>
        <w:t>技术商务部分评审索引目录表</w:t>
      </w:r>
    </w:p>
    <w:p>
      <w:pPr>
        <w:tabs>
          <w:tab w:val="left" w:pos="7980"/>
        </w:tabs>
        <w:jc w:val="left"/>
        <w:rPr>
          <w:rFonts w:ascii="宋体" w:hAnsi="宋体"/>
        </w:rPr>
      </w:pPr>
      <w:r>
        <w:rPr>
          <w:rFonts w:hint="eastAsia" w:ascii="宋体" w:hAnsi="宋体"/>
        </w:rPr>
        <w:t>项目名称：</w:t>
      </w:r>
    </w:p>
    <w:tbl>
      <w:tblPr>
        <w:tblStyle w:val="44"/>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670"/>
        <w:gridCol w:w="4447"/>
        <w:gridCol w:w="511"/>
        <w:gridCol w:w="567"/>
        <w:gridCol w:w="1134"/>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8" w:type="dxa"/>
            <w:vMerge w:val="restart"/>
            <w:vAlign w:val="center"/>
          </w:tcPr>
          <w:p>
            <w:pPr>
              <w:keepNext w:val="0"/>
              <w:keepLines w:val="0"/>
              <w:suppressLineNumbers w:val="0"/>
              <w:spacing w:before="0" w:beforeAutospacing="0" w:after="0" w:afterAutospacing="0"/>
              <w:ind w:left="0" w:right="0"/>
              <w:jc w:val="center"/>
              <w:rPr>
                <w:rFonts w:ascii="宋体" w:hAnsi="宋体"/>
                <w:b/>
                <w:szCs w:val="22"/>
              </w:rPr>
            </w:pPr>
            <w:r>
              <w:rPr>
                <w:rFonts w:hint="eastAsia" w:ascii="宋体" w:hAnsi="宋体"/>
                <w:b/>
                <w:szCs w:val="22"/>
              </w:rPr>
              <w:t>文件类型</w:t>
            </w:r>
          </w:p>
        </w:tc>
        <w:tc>
          <w:tcPr>
            <w:tcW w:w="670" w:type="dxa"/>
            <w:vMerge w:val="restart"/>
            <w:vAlign w:val="center"/>
          </w:tcPr>
          <w:p>
            <w:pPr>
              <w:keepNext w:val="0"/>
              <w:keepLines w:val="0"/>
              <w:suppressLineNumbers w:val="0"/>
              <w:spacing w:before="0" w:beforeAutospacing="0" w:after="0" w:afterAutospacing="0"/>
              <w:ind w:left="0" w:right="0"/>
              <w:jc w:val="center"/>
              <w:rPr>
                <w:rFonts w:ascii="宋体" w:hAnsi="宋体"/>
                <w:b/>
                <w:szCs w:val="22"/>
              </w:rPr>
            </w:pPr>
            <w:r>
              <w:rPr>
                <w:rFonts w:hint="eastAsia" w:ascii="宋体" w:hAnsi="宋体"/>
                <w:b/>
                <w:szCs w:val="22"/>
              </w:rPr>
              <w:t>序号</w:t>
            </w:r>
          </w:p>
        </w:tc>
        <w:tc>
          <w:tcPr>
            <w:tcW w:w="4447" w:type="dxa"/>
            <w:vMerge w:val="restart"/>
            <w:vAlign w:val="center"/>
          </w:tcPr>
          <w:p>
            <w:pPr>
              <w:keepNext w:val="0"/>
              <w:keepLines w:val="0"/>
              <w:suppressLineNumbers w:val="0"/>
              <w:spacing w:before="0" w:beforeAutospacing="0" w:after="0" w:afterAutospacing="0"/>
              <w:ind w:left="0" w:right="0"/>
              <w:jc w:val="center"/>
              <w:rPr>
                <w:rFonts w:ascii="宋体" w:hAnsi="宋体"/>
                <w:b/>
                <w:szCs w:val="22"/>
              </w:rPr>
            </w:pPr>
            <w:r>
              <w:rPr>
                <w:rFonts w:hint="eastAsia" w:ascii="宋体" w:hAnsi="宋体"/>
                <w:b/>
                <w:szCs w:val="22"/>
              </w:rPr>
              <w:t>文件名称</w:t>
            </w:r>
          </w:p>
        </w:tc>
        <w:tc>
          <w:tcPr>
            <w:tcW w:w="1078" w:type="dxa"/>
            <w:gridSpan w:val="2"/>
            <w:vAlign w:val="center"/>
          </w:tcPr>
          <w:p>
            <w:pPr>
              <w:keepNext w:val="0"/>
              <w:keepLines w:val="0"/>
              <w:suppressLineNumbers w:val="0"/>
              <w:spacing w:before="0" w:beforeAutospacing="0" w:after="0" w:afterAutospacing="0"/>
              <w:ind w:left="0" w:right="0"/>
              <w:jc w:val="center"/>
              <w:rPr>
                <w:rFonts w:ascii="宋体" w:hAnsi="宋体"/>
                <w:b/>
                <w:szCs w:val="22"/>
              </w:rPr>
            </w:pPr>
            <w:r>
              <w:rPr>
                <w:rFonts w:hint="eastAsia" w:ascii="宋体" w:hAnsi="宋体"/>
                <w:b/>
                <w:szCs w:val="22"/>
              </w:rPr>
              <w:t>提交情况</w:t>
            </w:r>
          </w:p>
        </w:tc>
        <w:tc>
          <w:tcPr>
            <w:tcW w:w="1134" w:type="dxa"/>
            <w:vMerge w:val="restart"/>
            <w:vAlign w:val="center"/>
          </w:tcPr>
          <w:p>
            <w:pPr>
              <w:keepNext w:val="0"/>
              <w:keepLines w:val="0"/>
              <w:suppressLineNumbers w:val="0"/>
              <w:spacing w:before="0" w:beforeAutospacing="0" w:after="0" w:afterAutospacing="0"/>
              <w:ind w:left="0" w:right="0"/>
              <w:jc w:val="center"/>
              <w:rPr>
                <w:rFonts w:ascii="宋体" w:hAnsi="宋体"/>
                <w:b/>
                <w:szCs w:val="22"/>
              </w:rPr>
            </w:pPr>
            <w:r>
              <w:rPr>
                <w:rFonts w:hint="eastAsia" w:ascii="宋体" w:hAnsi="宋体"/>
                <w:b/>
                <w:szCs w:val="22"/>
              </w:rPr>
              <w:t>页码范围</w:t>
            </w:r>
          </w:p>
        </w:tc>
        <w:tc>
          <w:tcPr>
            <w:tcW w:w="763" w:type="dxa"/>
            <w:vMerge w:val="restart"/>
            <w:vAlign w:val="center"/>
          </w:tcPr>
          <w:p>
            <w:pPr>
              <w:keepNext w:val="0"/>
              <w:keepLines w:val="0"/>
              <w:suppressLineNumbers w:val="0"/>
              <w:spacing w:before="0" w:beforeAutospacing="0" w:after="0" w:afterAutospacing="0"/>
              <w:ind w:left="0" w:right="0"/>
              <w:jc w:val="center"/>
              <w:rPr>
                <w:rFonts w:ascii="宋体" w:hAnsi="宋体"/>
                <w:b/>
                <w:szCs w:val="22"/>
              </w:rPr>
            </w:pPr>
            <w:r>
              <w:rPr>
                <w:rFonts w:hint="eastAsia" w:ascii="宋体" w:hAnsi="宋体"/>
                <w:b/>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8" w:type="dxa"/>
            <w:vMerge w:val="continue"/>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670" w:type="dxa"/>
            <w:vMerge w:val="continue"/>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4447" w:type="dxa"/>
            <w:vMerge w:val="continue"/>
            <w:vAlign w:val="center"/>
          </w:tcPr>
          <w:p>
            <w:pPr>
              <w:keepNext w:val="0"/>
              <w:keepLines w:val="0"/>
              <w:suppressLineNumbers w:val="0"/>
              <w:spacing w:before="0" w:beforeAutospacing="0" w:after="0" w:afterAutospacing="0"/>
              <w:ind w:left="0" w:right="0"/>
              <w:rPr>
                <w:rFonts w:ascii="宋体" w:hAnsi="宋体"/>
                <w:szCs w:val="22"/>
              </w:rPr>
            </w:pPr>
          </w:p>
        </w:tc>
        <w:tc>
          <w:tcPr>
            <w:tcW w:w="511" w:type="dxa"/>
            <w:vAlign w:val="center"/>
          </w:tcPr>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有</w:t>
            </w:r>
          </w:p>
        </w:tc>
        <w:tc>
          <w:tcPr>
            <w:tcW w:w="567" w:type="dxa"/>
            <w:vAlign w:val="center"/>
          </w:tcPr>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无</w:t>
            </w:r>
          </w:p>
        </w:tc>
        <w:tc>
          <w:tcPr>
            <w:tcW w:w="1134" w:type="dxa"/>
            <w:vMerge w:val="continue"/>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763" w:type="dxa"/>
            <w:vMerge w:val="continue"/>
            <w:vAlign w:val="center"/>
          </w:tcPr>
          <w:p>
            <w:pPr>
              <w:keepNext w:val="0"/>
              <w:keepLines w:val="0"/>
              <w:suppressLineNumbers w:val="0"/>
              <w:spacing w:before="0" w:beforeAutospacing="0" w:after="0" w:afterAutospacing="0"/>
              <w:ind w:left="0" w:right="0"/>
              <w:jc w:val="cente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8" w:type="dxa"/>
            <w:vMerge w:val="restart"/>
            <w:vAlign w:val="center"/>
          </w:tcPr>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目录部分</w:t>
            </w:r>
          </w:p>
        </w:tc>
        <w:tc>
          <w:tcPr>
            <w:tcW w:w="670" w:type="dxa"/>
            <w:vAlign w:val="center"/>
          </w:tcPr>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1</w:t>
            </w:r>
          </w:p>
        </w:tc>
        <w:tc>
          <w:tcPr>
            <w:tcW w:w="4447" w:type="dxa"/>
            <w:vAlign w:val="center"/>
          </w:tcPr>
          <w:p>
            <w:pPr>
              <w:keepNext w:val="0"/>
              <w:keepLines w:val="0"/>
              <w:suppressLineNumbers w:val="0"/>
              <w:spacing w:before="0" w:beforeAutospacing="0" w:after="0" w:afterAutospacing="0"/>
              <w:ind w:left="0" w:right="0"/>
              <w:rPr>
                <w:rFonts w:ascii="宋体" w:hAnsi="宋体"/>
                <w:szCs w:val="22"/>
              </w:rPr>
            </w:pPr>
            <w:r>
              <w:rPr>
                <w:rFonts w:hint="eastAsia" w:ascii="宋体" w:hAnsi="宋体"/>
                <w:szCs w:val="22"/>
              </w:rPr>
              <w:t>技术商务部分评审目录索引表</w:t>
            </w:r>
          </w:p>
        </w:tc>
        <w:tc>
          <w:tcPr>
            <w:tcW w:w="511"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567"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1134"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763" w:type="dxa"/>
            <w:vAlign w:val="center"/>
          </w:tcPr>
          <w:p>
            <w:pPr>
              <w:keepNext w:val="0"/>
              <w:keepLines w:val="0"/>
              <w:suppressLineNumbers w:val="0"/>
              <w:spacing w:before="0" w:beforeAutospacing="0" w:after="0" w:afterAutospacing="0"/>
              <w:ind w:left="0" w:right="0"/>
              <w:jc w:val="cente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8" w:type="dxa"/>
            <w:vMerge w:val="continue"/>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670" w:type="dxa"/>
            <w:vAlign w:val="center"/>
          </w:tcPr>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2</w:t>
            </w:r>
          </w:p>
        </w:tc>
        <w:tc>
          <w:tcPr>
            <w:tcW w:w="4447" w:type="dxa"/>
            <w:vAlign w:val="center"/>
          </w:tcPr>
          <w:p>
            <w:pPr>
              <w:keepNext w:val="0"/>
              <w:keepLines w:val="0"/>
              <w:suppressLineNumbers w:val="0"/>
              <w:spacing w:before="0" w:beforeAutospacing="0" w:after="0" w:afterAutospacing="0"/>
              <w:ind w:left="0" w:right="0"/>
              <w:rPr>
                <w:rFonts w:ascii="宋体" w:hAnsi="宋体"/>
                <w:szCs w:val="22"/>
              </w:rPr>
            </w:pPr>
            <w:r>
              <w:rPr>
                <w:rFonts w:hint="eastAsia" w:ascii="宋体" w:hAnsi="宋体"/>
                <w:szCs w:val="22"/>
              </w:rPr>
              <w:t>技术评审目录索引表</w:t>
            </w:r>
          </w:p>
        </w:tc>
        <w:tc>
          <w:tcPr>
            <w:tcW w:w="511"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567"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1134"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763" w:type="dxa"/>
            <w:vAlign w:val="center"/>
          </w:tcPr>
          <w:p>
            <w:pPr>
              <w:keepNext w:val="0"/>
              <w:keepLines w:val="0"/>
              <w:suppressLineNumbers w:val="0"/>
              <w:spacing w:before="0" w:beforeAutospacing="0" w:after="0" w:afterAutospacing="0"/>
              <w:ind w:left="0" w:right="0"/>
              <w:jc w:val="cente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8" w:type="dxa"/>
            <w:vMerge w:val="continue"/>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670" w:type="dxa"/>
            <w:vAlign w:val="center"/>
          </w:tcPr>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3</w:t>
            </w:r>
          </w:p>
        </w:tc>
        <w:tc>
          <w:tcPr>
            <w:tcW w:w="4447" w:type="dxa"/>
            <w:vAlign w:val="center"/>
          </w:tcPr>
          <w:p>
            <w:pPr>
              <w:keepNext w:val="0"/>
              <w:keepLines w:val="0"/>
              <w:suppressLineNumbers w:val="0"/>
              <w:spacing w:before="0" w:beforeAutospacing="0" w:after="0" w:afterAutospacing="0"/>
              <w:ind w:left="0" w:right="0"/>
              <w:rPr>
                <w:rFonts w:ascii="宋体" w:hAnsi="宋体"/>
                <w:szCs w:val="22"/>
              </w:rPr>
            </w:pPr>
            <w:r>
              <w:rPr>
                <w:rFonts w:hint="eastAsia" w:ascii="宋体" w:hAnsi="宋体"/>
                <w:szCs w:val="22"/>
              </w:rPr>
              <w:t>商务评审目录索引表</w:t>
            </w:r>
          </w:p>
        </w:tc>
        <w:tc>
          <w:tcPr>
            <w:tcW w:w="511"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567"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1134"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763" w:type="dxa"/>
            <w:vAlign w:val="center"/>
          </w:tcPr>
          <w:p>
            <w:pPr>
              <w:keepNext w:val="0"/>
              <w:keepLines w:val="0"/>
              <w:suppressLineNumbers w:val="0"/>
              <w:spacing w:before="0" w:beforeAutospacing="0" w:after="0" w:afterAutospacing="0"/>
              <w:ind w:left="0" w:right="0"/>
              <w:jc w:val="cente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8" w:type="dxa"/>
            <w:vMerge w:val="restart"/>
            <w:vAlign w:val="center"/>
          </w:tcPr>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价格部分</w:t>
            </w:r>
          </w:p>
        </w:tc>
        <w:tc>
          <w:tcPr>
            <w:tcW w:w="670" w:type="dxa"/>
            <w:vAlign w:val="center"/>
          </w:tcPr>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1</w:t>
            </w:r>
          </w:p>
        </w:tc>
        <w:tc>
          <w:tcPr>
            <w:tcW w:w="4447" w:type="dxa"/>
            <w:vAlign w:val="center"/>
          </w:tcPr>
          <w:p>
            <w:pPr>
              <w:keepNext w:val="0"/>
              <w:keepLines w:val="0"/>
              <w:suppressLineNumbers w:val="0"/>
              <w:spacing w:before="0" w:beforeAutospacing="0" w:after="0" w:afterAutospacing="0"/>
              <w:ind w:left="0" w:right="0"/>
              <w:rPr>
                <w:rFonts w:ascii="宋体" w:hAnsi="宋体"/>
                <w:szCs w:val="22"/>
              </w:rPr>
            </w:pPr>
            <w:r>
              <w:rPr>
                <w:rFonts w:hint="eastAsia" w:ascii="宋体" w:hAnsi="宋体"/>
                <w:szCs w:val="22"/>
              </w:rPr>
              <w:t>开标一览表</w:t>
            </w:r>
          </w:p>
        </w:tc>
        <w:tc>
          <w:tcPr>
            <w:tcW w:w="511"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567"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1134"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763" w:type="dxa"/>
            <w:vAlign w:val="center"/>
          </w:tcPr>
          <w:p>
            <w:pPr>
              <w:keepNext w:val="0"/>
              <w:keepLines w:val="0"/>
              <w:suppressLineNumbers w:val="0"/>
              <w:spacing w:before="0" w:beforeAutospacing="0" w:after="0" w:afterAutospacing="0"/>
              <w:ind w:left="0" w:right="0"/>
              <w:jc w:val="cente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8" w:type="dxa"/>
            <w:vMerge w:val="continue"/>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670" w:type="dxa"/>
            <w:vAlign w:val="center"/>
          </w:tcPr>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2</w:t>
            </w:r>
          </w:p>
        </w:tc>
        <w:tc>
          <w:tcPr>
            <w:tcW w:w="4447" w:type="dxa"/>
            <w:vAlign w:val="center"/>
          </w:tcPr>
          <w:p>
            <w:pPr>
              <w:keepNext w:val="0"/>
              <w:keepLines w:val="0"/>
              <w:suppressLineNumbers w:val="0"/>
              <w:spacing w:before="0" w:beforeAutospacing="0" w:after="0" w:afterAutospacing="0"/>
              <w:ind w:left="0" w:right="0"/>
              <w:rPr>
                <w:rFonts w:ascii="宋体" w:hAnsi="宋体"/>
                <w:szCs w:val="22"/>
              </w:rPr>
            </w:pPr>
            <w:r>
              <w:rPr>
                <w:rFonts w:hint="eastAsia" w:ascii="宋体" w:hAnsi="宋体"/>
                <w:szCs w:val="22"/>
              </w:rPr>
              <w:t>投入资金明细表</w:t>
            </w:r>
          </w:p>
        </w:tc>
        <w:tc>
          <w:tcPr>
            <w:tcW w:w="511"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567"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1134"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763" w:type="dxa"/>
            <w:vAlign w:val="center"/>
          </w:tcPr>
          <w:p>
            <w:pPr>
              <w:keepNext w:val="0"/>
              <w:keepLines w:val="0"/>
              <w:suppressLineNumbers w:val="0"/>
              <w:spacing w:before="0" w:beforeAutospacing="0" w:after="0" w:afterAutospacing="0"/>
              <w:ind w:left="0" w:right="0"/>
              <w:jc w:val="cente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8" w:type="dxa"/>
            <w:vMerge w:val="restart"/>
            <w:vAlign w:val="center"/>
          </w:tcPr>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投标人应提交的资格及符合性文件（加盖投标人公章）</w:t>
            </w:r>
          </w:p>
        </w:tc>
        <w:tc>
          <w:tcPr>
            <w:tcW w:w="670" w:type="dxa"/>
            <w:vAlign w:val="center"/>
          </w:tcPr>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1</w:t>
            </w:r>
          </w:p>
        </w:tc>
        <w:tc>
          <w:tcPr>
            <w:tcW w:w="4447" w:type="dxa"/>
            <w:vAlign w:val="center"/>
          </w:tcPr>
          <w:p>
            <w:pPr>
              <w:keepNext w:val="0"/>
              <w:keepLines w:val="0"/>
              <w:suppressLineNumbers w:val="0"/>
              <w:spacing w:before="0" w:beforeAutospacing="0" w:after="0" w:afterAutospacing="0"/>
              <w:ind w:left="0" w:right="0"/>
              <w:rPr>
                <w:rFonts w:ascii="宋体" w:hAnsi="宋体"/>
                <w:szCs w:val="22"/>
              </w:rPr>
            </w:pPr>
            <w:r>
              <w:rPr>
                <w:rFonts w:hint="eastAsia" w:ascii="宋体" w:hAnsi="宋体"/>
                <w:szCs w:val="22"/>
              </w:rPr>
              <w:t>声明函</w:t>
            </w:r>
          </w:p>
        </w:tc>
        <w:tc>
          <w:tcPr>
            <w:tcW w:w="511"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567"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1134"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763" w:type="dxa"/>
            <w:vAlign w:val="center"/>
          </w:tcPr>
          <w:p>
            <w:pPr>
              <w:keepNext w:val="0"/>
              <w:keepLines w:val="0"/>
              <w:suppressLineNumbers w:val="0"/>
              <w:spacing w:before="0" w:beforeAutospacing="0" w:after="0" w:afterAutospacing="0"/>
              <w:ind w:left="0" w:right="0"/>
              <w:jc w:val="cente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8" w:type="dxa"/>
            <w:vMerge w:val="continue"/>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670" w:type="dxa"/>
            <w:vAlign w:val="center"/>
          </w:tcPr>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2</w:t>
            </w:r>
          </w:p>
        </w:tc>
        <w:tc>
          <w:tcPr>
            <w:tcW w:w="4447" w:type="dxa"/>
            <w:vAlign w:val="center"/>
          </w:tcPr>
          <w:p>
            <w:pPr>
              <w:keepNext w:val="0"/>
              <w:keepLines w:val="0"/>
              <w:suppressLineNumbers w:val="0"/>
              <w:spacing w:before="0" w:beforeAutospacing="0" w:after="0" w:afterAutospacing="0"/>
              <w:ind w:left="0" w:right="0"/>
              <w:rPr>
                <w:rFonts w:ascii="宋体" w:hAnsi="宋体"/>
                <w:szCs w:val="22"/>
              </w:rPr>
            </w:pPr>
            <w:r>
              <w:rPr>
                <w:rFonts w:hint="eastAsia" w:ascii="宋体" w:hAnsi="宋体"/>
                <w:szCs w:val="22"/>
              </w:rPr>
              <w:t>法定代表人证明书</w:t>
            </w:r>
          </w:p>
        </w:tc>
        <w:tc>
          <w:tcPr>
            <w:tcW w:w="511"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567"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1134"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763" w:type="dxa"/>
            <w:vAlign w:val="center"/>
          </w:tcPr>
          <w:p>
            <w:pPr>
              <w:keepNext w:val="0"/>
              <w:keepLines w:val="0"/>
              <w:suppressLineNumbers w:val="0"/>
              <w:spacing w:before="0" w:beforeAutospacing="0" w:after="0" w:afterAutospacing="0"/>
              <w:ind w:left="0" w:right="0"/>
              <w:jc w:val="cente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8" w:type="dxa"/>
            <w:vMerge w:val="continue"/>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670" w:type="dxa"/>
            <w:vAlign w:val="center"/>
          </w:tcPr>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3</w:t>
            </w:r>
          </w:p>
        </w:tc>
        <w:tc>
          <w:tcPr>
            <w:tcW w:w="4447" w:type="dxa"/>
            <w:vAlign w:val="center"/>
          </w:tcPr>
          <w:p>
            <w:pPr>
              <w:keepNext w:val="0"/>
              <w:keepLines w:val="0"/>
              <w:suppressLineNumbers w:val="0"/>
              <w:spacing w:before="0" w:beforeAutospacing="0" w:after="0" w:afterAutospacing="0"/>
              <w:ind w:left="0" w:right="0"/>
              <w:rPr>
                <w:rFonts w:ascii="宋体" w:hAnsi="宋体"/>
                <w:szCs w:val="22"/>
              </w:rPr>
            </w:pPr>
            <w:r>
              <w:rPr>
                <w:rFonts w:hint="eastAsia" w:ascii="宋体" w:hAnsi="宋体"/>
                <w:szCs w:val="22"/>
              </w:rPr>
              <w:t>法人授权委托书</w:t>
            </w:r>
          </w:p>
        </w:tc>
        <w:tc>
          <w:tcPr>
            <w:tcW w:w="511"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567"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1134"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763" w:type="dxa"/>
            <w:vAlign w:val="center"/>
          </w:tcPr>
          <w:p>
            <w:pPr>
              <w:keepNext w:val="0"/>
              <w:keepLines w:val="0"/>
              <w:suppressLineNumbers w:val="0"/>
              <w:spacing w:before="0" w:beforeAutospacing="0" w:after="0" w:afterAutospacing="0"/>
              <w:ind w:left="0" w:right="0"/>
              <w:jc w:val="cente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8" w:type="dxa"/>
            <w:vMerge w:val="continue"/>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670" w:type="dxa"/>
            <w:vAlign w:val="center"/>
          </w:tcPr>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4</w:t>
            </w:r>
          </w:p>
        </w:tc>
        <w:tc>
          <w:tcPr>
            <w:tcW w:w="4447" w:type="dxa"/>
            <w:vAlign w:val="center"/>
          </w:tcPr>
          <w:p>
            <w:pPr>
              <w:keepNext w:val="0"/>
              <w:keepLines w:val="0"/>
              <w:suppressLineNumbers w:val="0"/>
              <w:spacing w:before="0" w:beforeAutospacing="0" w:after="0" w:afterAutospacing="0"/>
              <w:ind w:left="0" w:right="0"/>
              <w:rPr>
                <w:rFonts w:ascii="宋体" w:hAnsi="宋体"/>
                <w:szCs w:val="22"/>
              </w:rPr>
            </w:pPr>
            <w:r>
              <w:rPr>
                <w:rFonts w:hint="eastAsia" w:ascii="宋体" w:hAnsi="宋体"/>
                <w:szCs w:val="22"/>
              </w:rPr>
              <w:t>承诺函</w:t>
            </w:r>
          </w:p>
        </w:tc>
        <w:tc>
          <w:tcPr>
            <w:tcW w:w="511"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567"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1134"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763" w:type="dxa"/>
            <w:vAlign w:val="center"/>
          </w:tcPr>
          <w:p>
            <w:pPr>
              <w:keepNext w:val="0"/>
              <w:keepLines w:val="0"/>
              <w:suppressLineNumbers w:val="0"/>
              <w:spacing w:before="0" w:beforeAutospacing="0" w:after="0" w:afterAutospacing="0"/>
              <w:ind w:left="0" w:right="0"/>
              <w:jc w:val="cente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8" w:type="dxa"/>
            <w:vMerge w:val="continue"/>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670" w:type="dxa"/>
            <w:vAlign w:val="center"/>
          </w:tcPr>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5</w:t>
            </w:r>
          </w:p>
        </w:tc>
        <w:tc>
          <w:tcPr>
            <w:tcW w:w="4447" w:type="dxa"/>
            <w:vAlign w:val="center"/>
          </w:tcPr>
          <w:p>
            <w:pPr>
              <w:keepNext w:val="0"/>
              <w:keepLines w:val="0"/>
              <w:suppressLineNumbers w:val="0"/>
              <w:spacing w:before="0" w:beforeAutospacing="0" w:after="0" w:afterAutospacing="0"/>
              <w:ind w:left="0" w:right="0"/>
              <w:rPr>
                <w:rFonts w:ascii="宋体" w:hAnsi="宋体"/>
                <w:szCs w:val="22"/>
              </w:rPr>
            </w:pPr>
            <w:r>
              <w:rPr>
                <w:rFonts w:hint="eastAsia" w:ascii="宋体" w:hAnsi="宋体"/>
                <w:szCs w:val="22"/>
              </w:rPr>
              <w:t>实质性指标响应表</w:t>
            </w:r>
          </w:p>
        </w:tc>
        <w:tc>
          <w:tcPr>
            <w:tcW w:w="511"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567"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1134"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763" w:type="dxa"/>
            <w:vAlign w:val="center"/>
          </w:tcPr>
          <w:p>
            <w:pPr>
              <w:keepNext w:val="0"/>
              <w:keepLines w:val="0"/>
              <w:suppressLineNumbers w:val="0"/>
              <w:spacing w:before="0" w:beforeAutospacing="0" w:after="0" w:afterAutospacing="0"/>
              <w:ind w:left="0" w:right="0"/>
              <w:jc w:val="cente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exact"/>
          <w:jc w:val="center"/>
        </w:trPr>
        <w:tc>
          <w:tcPr>
            <w:tcW w:w="1488" w:type="dxa"/>
            <w:vMerge w:val="continue"/>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670" w:type="dxa"/>
            <w:vAlign w:val="center"/>
          </w:tcPr>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6</w:t>
            </w:r>
          </w:p>
        </w:tc>
        <w:tc>
          <w:tcPr>
            <w:tcW w:w="4447" w:type="dxa"/>
            <w:vAlign w:val="center"/>
          </w:tcPr>
          <w:p>
            <w:pPr>
              <w:keepNext w:val="0"/>
              <w:keepLines w:val="0"/>
              <w:suppressLineNumbers w:val="0"/>
              <w:spacing w:before="0" w:beforeAutospacing="0" w:after="0" w:afterAutospacing="0"/>
              <w:ind w:left="0" w:right="0"/>
              <w:rPr>
                <w:rFonts w:ascii="宋体" w:hAnsi="宋体"/>
                <w:szCs w:val="22"/>
              </w:rPr>
            </w:pPr>
            <w:r>
              <w:rPr>
                <w:rFonts w:hint="eastAsia" w:ascii="宋体" w:hAnsi="宋体"/>
                <w:szCs w:val="22"/>
              </w:rPr>
              <w:t>公平竞争承诺书</w:t>
            </w:r>
          </w:p>
        </w:tc>
        <w:tc>
          <w:tcPr>
            <w:tcW w:w="511"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567"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1134"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763" w:type="dxa"/>
            <w:vAlign w:val="center"/>
          </w:tcPr>
          <w:p>
            <w:pPr>
              <w:keepNext w:val="0"/>
              <w:keepLines w:val="0"/>
              <w:suppressLineNumbers w:val="0"/>
              <w:spacing w:before="0" w:beforeAutospacing="0" w:after="0" w:afterAutospacing="0"/>
              <w:ind w:left="0" w:right="0"/>
              <w:jc w:val="cente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8" w:type="dxa"/>
            <w:vMerge w:val="restart"/>
            <w:vAlign w:val="center"/>
          </w:tcPr>
          <w:p>
            <w:pPr>
              <w:keepNext w:val="0"/>
              <w:keepLines w:val="0"/>
              <w:suppressLineNumbers w:val="0"/>
              <w:spacing w:before="0" w:beforeAutospacing="0" w:after="0" w:afterAutospacing="0"/>
              <w:ind w:left="0" w:right="0"/>
              <w:rPr>
                <w:rFonts w:ascii="宋体" w:hAnsi="宋体"/>
                <w:szCs w:val="22"/>
              </w:rPr>
            </w:pPr>
            <w:r>
              <w:rPr>
                <w:rFonts w:hint="eastAsia" w:ascii="宋体" w:hAnsi="宋体"/>
                <w:szCs w:val="22"/>
              </w:rPr>
              <w:t>投标人应提交的技术商务文件（加盖投标人公章）</w:t>
            </w:r>
          </w:p>
        </w:tc>
        <w:tc>
          <w:tcPr>
            <w:tcW w:w="670" w:type="dxa"/>
            <w:vAlign w:val="center"/>
          </w:tcPr>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1</w:t>
            </w:r>
          </w:p>
        </w:tc>
        <w:tc>
          <w:tcPr>
            <w:tcW w:w="4447" w:type="dxa"/>
            <w:vAlign w:val="center"/>
          </w:tcPr>
          <w:p>
            <w:pPr>
              <w:keepNext w:val="0"/>
              <w:keepLines w:val="0"/>
              <w:suppressLineNumbers w:val="0"/>
              <w:spacing w:before="0" w:beforeAutospacing="0" w:after="0" w:afterAutospacing="0"/>
              <w:ind w:left="0" w:right="0"/>
              <w:rPr>
                <w:rFonts w:ascii="宋体" w:hAnsi="宋体"/>
                <w:szCs w:val="22"/>
              </w:rPr>
            </w:pPr>
            <w:r>
              <w:rPr>
                <w:rFonts w:hint="eastAsia" w:ascii="宋体" w:hAnsi="宋体"/>
                <w:szCs w:val="22"/>
              </w:rPr>
              <w:t>企业情况表</w:t>
            </w:r>
          </w:p>
        </w:tc>
        <w:tc>
          <w:tcPr>
            <w:tcW w:w="511"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567"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1134"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763" w:type="dxa"/>
            <w:vAlign w:val="center"/>
          </w:tcPr>
          <w:p>
            <w:pPr>
              <w:keepNext w:val="0"/>
              <w:keepLines w:val="0"/>
              <w:suppressLineNumbers w:val="0"/>
              <w:spacing w:before="0" w:beforeAutospacing="0" w:after="0" w:afterAutospacing="0"/>
              <w:ind w:left="0" w:right="0"/>
              <w:jc w:val="cente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8" w:type="dxa"/>
            <w:vMerge w:val="continue"/>
            <w:vAlign w:val="center"/>
          </w:tcPr>
          <w:p>
            <w:pPr>
              <w:keepNext w:val="0"/>
              <w:keepLines w:val="0"/>
              <w:suppressLineNumbers w:val="0"/>
              <w:spacing w:before="0" w:beforeAutospacing="0" w:after="0" w:afterAutospacing="0"/>
              <w:ind w:left="0" w:right="0"/>
              <w:rPr>
                <w:rFonts w:ascii="宋体" w:hAnsi="宋体"/>
                <w:szCs w:val="22"/>
              </w:rPr>
            </w:pPr>
          </w:p>
        </w:tc>
        <w:tc>
          <w:tcPr>
            <w:tcW w:w="670" w:type="dxa"/>
            <w:vAlign w:val="center"/>
          </w:tcPr>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2</w:t>
            </w:r>
          </w:p>
        </w:tc>
        <w:tc>
          <w:tcPr>
            <w:tcW w:w="4447" w:type="dxa"/>
            <w:vAlign w:val="center"/>
          </w:tcPr>
          <w:p>
            <w:pPr>
              <w:keepNext w:val="0"/>
              <w:keepLines w:val="0"/>
              <w:suppressLineNumbers w:val="0"/>
              <w:spacing w:before="0" w:beforeAutospacing="0" w:after="0" w:afterAutospacing="0"/>
              <w:ind w:left="0" w:right="0"/>
              <w:rPr>
                <w:rFonts w:ascii="宋体" w:hAnsi="宋体"/>
                <w:szCs w:val="22"/>
              </w:rPr>
            </w:pPr>
            <w:r>
              <w:rPr>
                <w:rFonts w:hint="eastAsia" w:ascii="宋体" w:hAnsi="宋体"/>
                <w:szCs w:val="22"/>
              </w:rPr>
              <w:t>用户需求书响应表</w:t>
            </w:r>
          </w:p>
        </w:tc>
        <w:tc>
          <w:tcPr>
            <w:tcW w:w="511"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567"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1134"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763" w:type="dxa"/>
            <w:vAlign w:val="center"/>
          </w:tcPr>
          <w:p>
            <w:pPr>
              <w:keepNext w:val="0"/>
              <w:keepLines w:val="0"/>
              <w:suppressLineNumbers w:val="0"/>
              <w:spacing w:before="0" w:beforeAutospacing="0" w:after="0" w:afterAutospacing="0"/>
              <w:ind w:left="0" w:right="0"/>
              <w:jc w:val="cente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8" w:type="dxa"/>
            <w:vMerge w:val="continue"/>
            <w:vAlign w:val="center"/>
          </w:tcPr>
          <w:p>
            <w:pPr>
              <w:keepNext w:val="0"/>
              <w:keepLines w:val="0"/>
              <w:suppressLineNumbers w:val="0"/>
              <w:spacing w:before="0" w:beforeAutospacing="0" w:after="0" w:afterAutospacing="0"/>
              <w:ind w:left="0" w:right="0"/>
              <w:rPr>
                <w:rFonts w:ascii="宋体" w:hAnsi="宋体"/>
                <w:szCs w:val="22"/>
              </w:rPr>
            </w:pPr>
          </w:p>
        </w:tc>
        <w:tc>
          <w:tcPr>
            <w:tcW w:w="670" w:type="dxa"/>
            <w:vAlign w:val="center"/>
          </w:tcPr>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3</w:t>
            </w:r>
          </w:p>
        </w:tc>
        <w:tc>
          <w:tcPr>
            <w:tcW w:w="4447" w:type="dxa"/>
            <w:vAlign w:val="center"/>
          </w:tcPr>
          <w:p>
            <w:pPr>
              <w:keepNext w:val="0"/>
              <w:keepLines w:val="0"/>
              <w:suppressLineNumbers w:val="0"/>
              <w:spacing w:before="0" w:beforeAutospacing="0" w:after="0" w:afterAutospacing="0"/>
              <w:ind w:left="0" w:right="0"/>
              <w:rPr>
                <w:rFonts w:ascii="宋体" w:hAnsi="宋体"/>
                <w:szCs w:val="22"/>
              </w:rPr>
            </w:pPr>
            <w:r>
              <w:rPr>
                <w:rFonts w:hint="eastAsia" w:ascii="宋体" w:hAnsi="宋体"/>
                <w:szCs w:val="22"/>
              </w:rPr>
              <w:t>同类项目业绩</w:t>
            </w:r>
          </w:p>
        </w:tc>
        <w:tc>
          <w:tcPr>
            <w:tcW w:w="511"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567"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1134"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763" w:type="dxa"/>
            <w:vAlign w:val="center"/>
          </w:tcPr>
          <w:p>
            <w:pPr>
              <w:keepNext w:val="0"/>
              <w:keepLines w:val="0"/>
              <w:suppressLineNumbers w:val="0"/>
              <w:spacing w:before="0" w:beforeAutospacing="0" w:after="0" w:afterAutospacing="0"/>
              <w:ind w:left="0" w:right="0"/>
              <w:jc w:val="cente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8" w:type="dxa"/>
            <w:vMerge w:val="continue"/>
            <w:vAlign w:val="center"/>
          </w:tcPr>
          <w:p>
            <w:pPr>
              <w:keepNext w:val="0"/>
              <w:keepLines w:val="0"/>
              <w:suppressLineNumbers w:val="0"/>
              <w:spacing w:before="0" w:beforeAutospacing="0" w:after="0" w:afterAutospacing="0"/>
              <w:ind w:left="0" w:right="0"/>
              <w:rPr>
                <w:rFonts w:ascii="宋体" w:hAnsi="宋体"/>
                <w:szCs w:val="22"/>
              </w:rPr>
            </w:pPr>
          </w:p>
        </w:tc>
        <w:tc>
          <w:tcPr>
            <w:tcW w:w="670" w:type="dxa"/>
            <w:vAlign w:val="center"/>
          </w:tcPr>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4</w:t>
            </w:r>
          </w:p>
        </w:tc>
        <w:tc>
          <w:tcPr>
            <w:tcW w:w="4447" w:type="dxa"/>
            <w:vAlign w:val="center"/>
          </w:tcPr>
          <w:p>
            <w:pPr>
              <w:keepNext w:val="0"/>
              <w:keepLines w:val="0"/>
              <w:suppressLineNumbers w:val="0"/>
              <w:spacing w:before="0" w:beforeAutospacing="0" w:after="0" w:afterAutospacing="0"/>
              <w:ind w:left="0" w:right="0"/>
              <w:rPr>
                <w:rFonts w:ascii="宋体" w:hAnsi="宋体"/>
                <w:szCs w:val="22"/>
              </w:rPr>
            </w:pPr>
            <w:r>
              <w:rPr>
                <w:rFonts w:hint="eastAsia"/>
                <w:szCs w:val="22"/>
              </w:rPr>
              <w:t>拟投入本项目人员情况</w:t>
            </w:r>
          </w:p>
        </w:tc>
        <w:tc>
          <w:tcPr>
            <w:tcW w:w="511"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567"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1134"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763" w:type="dxa"/>
            <w:vAlign w:val="center"/>
          </w:tcPr>
          <w:p>
            <w:pPr>
              <w:keepNext w:val="0"/>
              <w:keepLines w:val="0"/>
              <w:suppressLineNumbers w:val="0"/>
              <w:spacing w:before="0" w:beforeAutospacing="0" w:after="0" w:afterAutospacing="0"/>
              <w:ind w:left="0" w:right="0"/>
              <w:jc w:val="cente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8" w:type="dxa"/>
            <w:vMerge w:val="continue"/>
            <w:vAlign w:val="center"/>
          </w:tcPr>
          <w:p>
            <w:pPr>
              <w:keepNext w:val="0"/>
              <w:keepLines w:val="0"/>
              <w:suppressLineNumbers w:val="0"/>
              <w:spacing w:before="0" w:beforeAutospacing="0" w:after="0" w:afterAutospacing="0"/>
              <w:ind w:left="0" w:right="0"/>
              <w:rPr>
                <w:rFonts w:ascii="宋体" w:hAnsi="宋体"/>
                <w:szCs w:val="22"/>
              </w:rPr>
            </w:pPr>
          </w:p>
        </w:tc>
        <w:tc>
          <w:tcPr>
            <w:tcW w:w="670" w:type="dxa"/>
            <w:vAlign w:val="center"/>
          </w:tcPr>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5</w:t>
            </w:r>
          </w:p>
        </w:tc>
        <w:tc>
          <w:tcPr>
            <w:tcW w:w="4447" w:type="dxa"/>
            <w:vAlign w:val="center"/>
          </w:tcPr>
          <w:p>
            <w:pPr>
              <w:keepNext w:val="0"/>
              <w:keepLines w:val="0"/>
              <w:suppressLineNumbers w:val="0"/>
              <w:spacing w:before="0" w:beforeAutospacing="0" w:after="0" w:afterAutospacing="0"/>
              <w:ind w:left="0" w:right="0"/>
              <w:rPr>
                <w:rFonts w:ascii="宋体" w:hAnsi="宋体"/>
                <w:szCs w:val="22"/>
              </w:rPr>
            </w:pPr>
            <w:r>
              <w:rPr>
                <w:rFonts w:hint="eastAsia" w:ascii="宋体" w:hAnsi="宋体"/>
                <w:szCs w:val="22"/>
              </w:rPr>
              <w:t>整体实施方案</w:t>
            </w:r>
          </w:p>
        </w:tc>
        <w:tc>
          <w:tcPr>
            <w:tcW w:w="511"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567"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1134"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763" w:type="dxa"/>
            <w:vAlign w:val="center"/>
          </w:tcPr>
          <w:p>
            <w:pPr>
              <w:keepNext w:val="0"/>
              <w:keepLines w:val="0"/>
              <w:suppressLineNumbers w:val="0"/>
              <w:spacing w:before="0" w:beforeAutospacing="0" w:after="0" w:afterAutospacing="0"/>
              <w:ind w:left="0" w:right="0"/>
              <w:jc w:val="cente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488" w:type="dxa"/>
            <w:vMerge w:val="continue"/>
            <w:vAlign w:val="center"/>
          </w:tcPr>
          <w:p>
            <w:pPr>
              <w:keepNext w:val="0"/>
              <w:keepLines w:val="0"/>
              <w:suppressLineNumbers w:val="0"/>
              <w:spacing w:before="0" w:beforeAutospacing="0" w:after="0" w:afterAutospacing="0"/>
              <w:ind w:left="0" w:right="0"/>
              <w:rPr>
                <w:rFonts w:ascii="宋体" w:hAnsi="宋体"/>
                <w:szCs w:val="22"/>
              </w:rPr>
            </w:pPr>
          </w:p>
        </w:tc>
        <w:tc>
          <w:tcPr>
            <w:tcW w:w="670" w:type="dxa"/>
            <w:vAlign w:val="center"/>
          </w:tcPr>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6</w:t>
            </w:r>
          </w:p>
        </w:tc>
        <w:tc>
          <w:tcPr>
            <w:tcW w:w="4447" w:type="dxa"/>
            <w:vAlign w:val="center"/>
          </w:tcPr>
          <w:p>
            <w:pPr>
              <w:keepNext w:val="0"/>
              <w:keepLines w:val="0"/>
              <w:suppressLineNumbers w:val="0"/>
              <w:spacing w:before="0" w:beforeAutospacing="0" w:after="0" w:afterAutospacing="0"/>
              <w:ind w:left="0" w:right="0"/>
              <w:rPr>
                <w:rFonts w:ascii="宋体" w:hAnsi="宋体"/>
                <w:szCs w:val="22"/>
              </w:rPr>
            </w:pPr>
            <w:r>
              <w:rPr>
                <w:rFonts w:hint="eastAsia" w:ascii="宋体" w:hAnsi="宋体"/>
                <w:szCs w:val="22"/>
              </w:rPr>
              <w:t>投标人认为有需要提供的其他资料</w:t>
            </w:r>
          </w:p>
        </w:tc>
        <w:tc>
          <w:tcPr>
            <w:tcW w:w="511"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567"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1134" w:type="dxa"/>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763" w:type="dxa"/>
            <w:vAlign w:val="center"/>
          </w:tcPr>
          <w:p>
            <w:pPr>
              <w:keepNext w:val="0"/>
              <w:keepLines w:val="0"/>
              <w:suppressLineNumbers w:val="0"/>
              <w:spacing w:before="0" w:beforeAutospacing="0" w:after="0" w:afterAutospacing="0"/>
              <w:ind w:left="0" w:right="0"/>
              <w:jc w:val="center"/>
              <w:rPr>
                <w:rFonts w:ascii="宋体" w:hAnsi="宋体"/>
                <w:szCs w:val="22"/>
              </w:rPr>
            </w:pPr>
          </w:p>
        </w:tc>
      </w:tr>
    </w:tbl>
    <w:p>
      <w:pPr>
        <w:tabs>
          <w:tab w:val="left" w:pos="7980"/>
        </w:tabs>
        <w:ind w:firstLine="561"/>
        <w:jc w:val="left"/>
        <w:rPr>
          <w:rFonts w:ascii="宋体" w:hAnsi="宋体"/>
          <w:b/>
          <w:bCs/>
          <w:sz w:val="28"/>
        </w:rPr>
      </w:pPr>
      <w:r>
        <w:rPr>
          <w:rFonts w:hint="eastAsia" w:ascii="宋体" w:hAnsi="宋体"/>
          <w:bCs/>
          <w:szCs w:val="21"/>
        </w:rPr>
        <w:t>注：投标人应当根据技术及商务评审打分内容提供相应的证明材料，如未提供，评委有权认为不具备或不符合，并影响投标人的得分。</w:t>
      </w:r>
    </w:p>
    <w:p>
      <w:pPr>
        <w:rPr>
          <w:rFonts w:ascii="宋体" w:hAnsi="宋体"/>
          <w:b/>
        </w:rPr>
      </w:pPr>
    </w:p>
    <w:p>
      <w:pPr>
        <w:pageBreakBefore/>
        <w:rPr>
          <w:rFonts w:ascii="宋体" w:hAnsi="宋体"/>
          <w:b/>
          <w:szCs w:val="21"/>
        </w:rPr>
      </w:pPr>
      <w:r>
        <w:rPr>
          <w:rFonts w:hint="eastAsia" w:ascii="宋体" w:hAnsi="宋体"/>
          <w:b/>
          <w:szCs w:val="21"/>
        </w:rPr>
        <w:t>2. 技术评审目录索引表</w:t>
      </w:r>
    </w:p>
    <w:p>
      <w:pPr>
        <w:jc w:val="center"/>
        <w:rPr>
          <w:rFonts w:ascii="宋体" w:hAnsi="宋体" w:cs="宋体"/>
          <w:b/>
          <w:bCs/>
          <w:kern w:val="0"/>
          <w:szCs w:val="21"/>
        </w:rPr>
      </w:pPr>
      <w:r>
        <w:rPr>
          <w:rFonts w:hint="eastAsia" w:ascii="宋体" w:hAnsi="宋体"/>
          <w:b/>
          <w:szCs w:val="21"/>
        </w:rPr>
        <w:t>技术评审</w:t>
      </w:r>
      <w:r>
        <w:rPr>
          <w:rFonts w:hint="eastAsia" w:ascii="宋体" w:hAnsi="宋体" w:cs="宋体"/>
          <w:b/>
          <w:bCs/>
          <w:kern w:val="0"/>
          <w:szCs w:val="21"/>
        </w:rPr>
        <w:t>目录索引表</w:t>
      </w:r>
    </w:p>
    <w:p>
      <w:pPr>
        <w:tabs>
          <w:tab w:val="left" w:pos="7980"/>
        </w:tabs>
        <w:ind w:firstLine="420" w:firstLineChars="200"/>
        <w:jc w:val="left"/>
        <w:rPr>
          <w:rFonts w:ascii="宋体" w:hAnsi="宋体" w:cs="宋体"/>
          <w:b/>
          <w:bCs/>
          <w:kern w:val="0"/>
          <w:sz w:val="28"/>
          <w:szCs w:val="28"/>
        </w:rPr>
      </w:pPr>
      <w:r>
        <w:rPr>
          <w:rFonts w:hint="eastAsia" w:ascii="宋体" w:hAnsi="宋体"/>
        </w:rPr>
        <w:t>项目名称：</w:t>
      </w:r>
    </w:p>
    <w:tbl>
      <w:tblPr>
        <w:tblStyle w:val="44"/>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3828"/>
        <w:gridCol w:w="3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812" w:type="dxa"/>
            <w:noWrap/>
            <w:vAlign w:val="center"/>
          </w:tcPr>
          <w:p>
            <w:pPr>
              <w:keepNext w:val="0"/>
              <w:keepLines w:val="0"/>
              <w:suppressLineNumbers w:val="0"/>
              <w:spacing w:before="0" w:beforeAutospacing="0" w:after="0" w:afterAutospacing="0" w:line="280" w:lineRule="exact"/>
              <w:ind w:left="0" w:right="0"/>
              <w:jc w:val="center"/>
              <w:rPr>
                <w:rFonts w:ascii="宋体" w:hAnsi="宋体"/>
                <w:b/>
                <w:szCs w:val="21"/>
              </w:rPr>
            </w:pPr>
            <w:r>
              <w:rPr>
                <w:rFonts w:ascii="宋体" w:hAnsi="宋体"/>
                <w:b/>
                <w:szCs w:val="21"/>
              </w:rPr>
              <w:t>序号</w:t>
            </w:r>
          </w:p>
        </w:tc>
        <w:tc>
          <w:tcPr>
            <w:tcW w:w="3828" w:type="dxa"/>
            <w:noWrap/>
            <w:vAlign w:val="center"/>
          </w:tcPr>
          <w:p>
            <w:pPr>
              <w:keepNext w:val="0"/>
              <w:keepLines w:val="0"/>
              <w:suppressLineNumbers w:val="0"/>
              <w:spacing w:before="0" w:beforeAutospacing="0" w:after="0" w:afterAutospacing="0" w:line="280" w:lineRule="exact"/>
              <w:ind w:left="0" w:right="0"/>
              <w:jc w:val="center"/>
              <w:rPr>
                <w:rFonts w:ascii="宋体" w:hAnsi="宋体"/>
                <w:b/>
                <w:szCs w:val="21"/>
              </w:rPr>
            </w:pPr>
            <w:r>
              <w:rPr>
                <w:rFonts w:hint="eastAsia" w:ascii="宋体" w:hAnsi="宋体"/>
                <w:b/>
                <w:szCs w:val="21"/>
              </w:rPr>
              <w:t>评审分项</w:t>
            </w:r>
          </w:p>
        </w:tc>
        <w:tc>
          <w:tcPr>
            <w:tcW w:w="3955" w:type="dxa"/>
            <w:noWrap/>
            <w:vAlign w:val="center"/>
          </w:tcPr>
          <w:p>
            <w:pPr>
              <w:keepNext w:val="0"/>
              <w:keepLines w:val="0"/>
              <w:suppressLineNumbers w:val="0"/>
              <w:spacing w:before="0" w:beforeAutospacing="0" w:after="0" w:afterAutospacing="0" w:line="280" w:lineRule="exact"/>
              <w:ind w:left="0" w:right="0"/>
              <w:jc w:val="center"/>
              <w:rPr>
                <w:rFonts w:ascii="宋体" w:hAnsi="宋体"/>
                <w:b/>
                <w:szCs w:val="21"/>
              </w:rPr>
            </w:pPr>
            <w:r>
              <w:rPr>
                <w:rFonts w:hint="eastAsia" w:ascii="宋体" w:hAnsi="宋体"/>
                <w:b/>
                <w:szCs w:val="21"/>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812" w:type="dxa"/>
            <w:noWrap/>
            <w:vAlign w:val="center"/>
          </w:tcPr>
          <w:p>
            <w:pPr>
              <w:keepNext w:val="0"/>
              <w:keepLines w:val="0"/>
              <w:suppressLineNumbers w:val="0"/>
              <w:spacing w:before="0" w:beforeAutospacing="0" w:after="0" w:afterAutospacing="0" w:line="280" w:lineRule="exact"/>
              <w:ind w:left="0" w:right="0"/>
              <w:jc w:val="center"/>
              <w:rPr>
                <w:rFonts w:ascii="宋体" w:hAnsi="宋体"/>
                <w:szCs w:val="21"/>
              </w:rPr>
            </w:pPr>
            <w:r>
              <w:rPr>
                <w:rFonts w:hint="eastAsia" w:ascii="宋体" w:hAnsi="宋体"/>
                <w:szCs w:val="21"/>
              </w:rPr>
              <w:t>1</w:t>
            </w:r>
          </w:p>
        </w:tc>
        <w:tc>
          <w:tcPr>
            <w:tcW w:w="3828" w:type="dxa"/>
            <w:noWrap/>
            <w:vAlign w:val="center"/>
          </w:tcPr>
          <w:p>
            <w:pPr>
              <w:keepNext w:val="0"/>
              <w:keepLines w:val="0"/>
              <w:suppressLineNumbers w:val="0"/>
              <w:spacing w:before="0" w:beforeAutospacing="0" w:after="0" w:afterAutospacing="0"/>
              <w:ind w:left="0" w:right="0"/>
              <w:jc w:val="center"/>
              <w:rPr>
                <w:rFonts w:ascii="宋体" w:hAnsi="宋体" w:cs="仿宋"/>
                <w:szCs w:val="21"/>
                <w:lang w:val="zh-CN"/>
              </w:rPr>
            </w:pPr>
          </w:p>
        </w:tc>
        <w:tc>
          <w:tcPr>
            <w:tcW w:w="3955" w:type="dxa"/>
            <w:noWrap/>
            <w:vAlign w:val="center"/>
          </w:tcPr>
          <w:p>
            <w:pPr>
              <w:keepNext w:val="0"/>
              <w:keepLines w:val="0"/>
              <w:suppressLineNumbers w:val="0"/>
              <w:spacing w:before="0" w:beforeAutospacing="0" w:after="0" w:afterAutospacing="0" w:line="280" w:lineRule="exact"/>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812" w:type="dxa"/>
            <w:noWrap/>
            <w:vAlign w:val="center"/>
          </w:tcPr>
          <w:p>
            <w:pPr>
              <w:keepNext w:val="0"/>
              <w:keepLines w:val="0"/>
              <w:suppressLineNumbers w:val="0"/>
              <w:spacing w:before="0" w:beforeAutospacing="0" w:after="0" w:afterAutospacing="0" w:line="280" w:lineRule="exact"/>
              <w:ind w:left="0" w:right="0"/>
              <w:jc w:val="center"/>
              <w:rPr>
                <w:rFonts w:ascii="宋体" w:hAnsi="宋体"/>
                <w:szCs w:val="21"/>
              </w:rPr>
            </w:pPr>
            <w:r>
              <w:rPr>
                <w:rFonts w:hint="eastAsia" w:ascii="宋体" w:hAnsi="宋体"/>
                <w:szCs w:val="21"/>
              </w:rPr>
              <w:t>2</w:t>
            </w:r>
          </w:p>
        </w:tc>
        <w:tc>
          <w:tcPr>
            <w:tcW w:w="3828" w:type="dxa"/>
            <w:noWrap/>
            <w:vAlign w:val="center"/>
          </w:tcPr>
          <w:p>
            <w:pPr>
              <w:keepNext w:val="0"/>
              <w:keepLines w:val="0"/>
              <w:suppressLineNumbers w:val="0"/>
              <w:spacing w:before="0" w:beforeAutospacing="0" w:after="0" w:afterAutospacing="0"/>
              <w:ind w:left="0" w:right="0"/>
              <w:jc w:val="center"/>
              <w:rPr>
                <w:rFonts w:ascii="宋体" w:hAnsi="宋体"/>
                <w:kern w:val="0"/>
                <w:szCs w:val="21"/>
              </w:rPr>
            </w:pPr>
          </w:p>
        </w:tc>
        <w:tc>
          <w:tcPr>
            <w:tcW w:w="3955" w:type="dxa"/>
            <w:noWrap/>
            <w:vAlign w:val="center"/>
          </w:tcPr>
          <w:p>
            <w:pPr>
              <w:keepNext w:val="0"/>
              <w:keepLines w:val="0"/>
              <w:suppressLineNumbers w:val="0"/>
              <w:spacing w:before="0" w:beforeAutospacing="0" w:after="0" w:afterAutospacing="0" w:line="280" w:lineRule="exact"/>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812" w:type="dxa"/>
            <w:noWrap/>
            <w:vAlign w:val="center"/>
          </w:tcPr>
          <w:p>
            <w:pPr>
              <w:keepNext w:val="0"/>
              <w:keepLines w:val="0"/>
              <w:suppressLineNumbers w:val="0"/>
              <w:spacing w:before="0" w:beforeAutospacing="0" w:after="0" w:afterAutospacing="0" w:line="280" w:lineRule="exact"/>
              <w:ind w:left="0" w:right="0"/>
              <w:jc w:val="center"/>
              <w:rPr>
                <w:rFonts w:ascii="宋体" w:hAnsi="宋体"/>
                <w:szCs w:val="21"/>
              </w:rPr>
            </w:pPr>
            <w:r>
              <w:rPr>
                <w:rFonts w:hint="eastAsia" w:ascii="宋体" w:hAnsi="宋体"/>
                <w:szCs w:val="21"/>
              </w:rPr>
              <w:t>3</w:t>
            </w:r>
          </w:p>
        </w:tc>
        <w:tc>
          <w:tcPr>
            <w:tcW w:w="3828" w:type="dxa"/>
            <w:noWrap/>
            <w:vAlign w:val="center"/>
          </w:tcPr>
          <w:p>
            <w:pPr>
              <w:keepNext w:val="0"/>
              <w:keepLines w:val="0"/>
              <w:suppressLineNumbers w:val="0"/>
              <w:spacing w:before="0" w:beforeAutospacing="0" w:after="0" w:afterAutospacing="0"/>
              <w:ind w:left="0" w:right="0"/>
              <w:jc w:val="center"/>
              <w:rPr>
                <w:rFonts w:ascii="宋体" w:hAnsi="宋体"/>
                <w:kern w:val="0"/>
                <w:szCs w:val="21"/>
              </w:rPr>
            </w:pPr>
          </w:p>
        </w:tc>
        <w:tc>
          <w:tcPr>
            <w:tcW w:w="3955" w:type="dxa"/>
            <w:noWrap/>
            <w:vAlign w:val="center"/>
          </w:tcPr>
          <w:p>
            <w:pPr>
              <w:keepNext w:val="0"/>
              <w:keepLines w:val="0"/>
              <w:suppressLineNumbers w:val="0"/>
              <w:spacing w:before="0" w:beforeAutospacing="0" w:after="0" w:afterAutospacing="0" w:line="280" w:lineRule="exact"/>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812" w:type="dxa"/>
            <w:noWrap/>
            <w:vAlign w:val="center"/>
          </w:tcPr>
          <w:p>
            <w:pPr>
              <w:keepNext w:val="0"/>
              <w:keepLines w:val="0"/>
              <w:suppressLineNumbers w:val="0"/>
              <w:spacing w:before="0" w:beforeAutospacing="0" w:after="0" w:afterAutospacing="0" w:line="280" w:lineRule="exact"/>
              <w:ind w:left="0" w:right="0"/>
              <w:jc w:val="center"/>
              <w:rPr>
                <w:rFonts w:ascii="宋体" w:hAnsi="宋体"/>
                <w:szCs w:val="21"/>
              </w:rPr>
            </w:pPr>
            <w:r>
              <w:rPr>
                <w:rFonts w:hint="eastAsia" w:ascii="宋体" w:hAnsi="宋体"/>
                <w:szCs w:val="21"/>
              </w:rPr>
              <w:t>4</w:t>
            </w:r>
          </w:p>
        </w:tc>
        <w:tc>
          <w:tcPr>
            <w:tcW w:w="3828" w:type="dxa"/>
            <w:noWrap/>
            <w:vAlign w:val="center"/>
          </w:tcPr>
          <w:p>
            <w:pPr>
              <w:keepNext w:val="0"/>
              <w:keepLines w:val="0"/>
              <w:suppressLineNumbers w:val="0"/>
              <w:spacing w:before="0" w:beforeAutospacing="0" w:after="0" w:afterAutospacing="0"/>
              <w:ind w:left="0" w:right="0"/>
              <w:jc w:val="center"/>
              <w:rPr>
                <w:rFonts w:ascii="宋体" w:hAnsi="宋体"/>
                <w:kern w:val="0"/>
                <w:szCs w:val="21"/>
              </w:rPr>
            </w:pPr>
          </w:p>
        </w:tc>
        <w:tc>
          <w:tcPr>
            <w:tcW w:w="3955" w:type="dxa"/>
            <w:noWrap/>
            <w:vAlign w:val="center"/>
          </w:tcPr>
          <w:p>
            <w:pPr>
              <w:keepNext w:val="0"/>
              <w:keepLines w:val="0"/>
              <w:suppressLineNumbers w:val="0"/>
              <w:spacing w:before="0" w:beforeAutospacing="0" w:after="0" w:afterAutospacing="0" w:line="280" w:lineRule="exact"/>
              <w:ind w:left="0" w:right="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812" w:type="dxa"/>
            <w:noWrap/>
            <w:vAlign w:val="center"/>
          </w:tcPr>
          <w:p>
            <w:pPr>
              <w:keepNext w:val="0"/>
              <w:keepLines w:val="0"/>
              <w:suppressLineNumbers w:val="0"/>
              <w:spacing w:before="0" w:beforeAutospacing="0" w:after="0" w:afterAutospacing="0" w:line="280" w:lineRule="exact"/>
              <w:ind w:left="0" w:right="0"/>
              <w:jc w:val="center"/>
              <w:rPr>
                <w:rFonts w:ascii="宋体" w:hAnsi="宋体"/>
                <w:szCs w:val="21"/>
              </w:rPr>
            </w:pPr>
            <w:r>
              <w:rPr>
                <w:rFonts w:ascii="宋体" w:hAnsi="宋体"/>
                <w:szCs w:val="21"/>
              </w:rPr>
              <w:t>…</w:t>
            </w:r>
          </w:p>
        </w:tc>
        <w:tc>
          <w:tcPr>
            <w:tcW w:w="3828" w:type="dxa"/>
            <w:noWrap/>
            <w:vAlign w:val="center"/>
          </w:tcPr>
          <w:p>
            <w:pPr>
              <w:keepNext w:val="0"/>
              <w:keepLines w:val="0"/>
              <w:suppressLineNumbers w:val="0"/>
              <w:spacing w:before="0" w:beforeAutospacing="0" w:after="0" w:afterAutospacing="0"/>
              <w:ind w:left="0" w:right="0"/>
              <w:jc w:val="center"/>
              <w:rPr>
                <w:rFonts w:ascii="宋体" w:hAnsi="宋体"/>
                <w:kern w:val="0"/>
                <w:szCs w:val="21"/>
              </w:rPr>
            </w:pPr>
          </w:p>
        </w:tc>
        <w:tc>
          <w:tcPr>
            <w:tcW w:w="3955" w:type="dxa"/>
            <w:noWrap/>
            <w:vAlign w:val="center"/>
          </w:tcPr>
          <w:p>
            <w:pPr>
              <w:keepNext w:val="0"/>
              <w:keepLines w:val="0"/>
              <w:suppressLineNumbers w:val="0"/>
              <w:spacing w:before="0" w:beforeAutospacing="0" w:after="0" w:afterAutospacing="0" w:line="280" w:lineRule="exact"/>
              <w:ind w:left="0" w:right="0"/>
              <w:rPr>
                <w:rFonts w:ascii="宋体" w:hAnsi="宋体"/>
                <w:szCs w:val="21"/>
              </w:rPr>
            </w:pPr>
          </w:p>
        </w:tc>
      </w:tr>
    </w:tbl>
    <w:p>
      <w:pPr>
        <w:tabs>
          <w:tab w:val="left" w:pos="7980"/>
        </w:tabs>
        <w:ind w:firstLine="561"/>
        <w:jc w:val="left"/>
        <w:rPr>
          <w:rFonts w:ascii="宋体" w:hAnsi="宋体"/>
          <w:bCs/>
          <w:szCs w:val="21"/>
        </w:rPr>
      </w:pPr>
      <w:r>
        <w:rPr>
          <w:rFonts w:hint="eastAsia" w:ascii="宋体" w:hAnsi="宋体"/>
          <w:bCs/>
          <w:szCs w:val="21"/>
        </w:rPr>
        <w:t>注：投标人应当根据技术评审表及商务评审表内容提供相应的证明材料，如未提供或提供不全，评委有权认为不具备或不符合，并影响投标人的得分。</w:t>
      </w: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r>
        <w:rPr>
          <w:rFonts w:hint="eastAsia" w:ascii="宋体" w:hAnsi="宋体"/>
          <w:b/>
          <w:szCs w:val="21"/>
        </w:rPr>
        <w:t>3.商务评审目录索引表</w:t>
      </w:r>
    </w:p>
    <w:p>
      <w:pPr>
        <w:jc w:val="center"/>
        <w:rPr>
          <w:rFonts w:ascii="宋体" w:hAnsi="宋体" w:cs="宋体"/>
          <w:b/>
          <w:bCs/>
          <w:kern w:val="0"/>
          <w:szCs w:val="21"/>
        </w:rPr>
      </w:pPr>
      <w:r>
        <w:rPr>
          <w:rFonts w:hint="eastAsia" w:ascii="宋体" w:hAnsi="宋体"/>
          <w:b/>
          <w:szCs w:val="21"/>
        </w:rPr>
        <w:t>商务评审</w:t>
      </w:r>
      <w:r>
        <w:rPr>
          <w:rFonts w:hint="eastAsia" w:ascii="宋体" w:hAnsi="宋体" w:cs="宋体"/>
          <w:b/>
          <w:bCs/>
          <w:kern w:val="0"/>
          <w:szCs w:val="21"/>
        </w:rPr>
        <w:t>目录索引表</w:t>
      </w:r>
    </w:p>
    <w:p>
      <w:pPr>
        <w:tabs>
          <w:tab w:val="left" w:pos="7980"/>
        </w:tabs>
        <w:ind w:firstLine="420" w:firstLineChars="200"/>
        <w:jc w:val="left"/>
        <w:rPr>
          <w:rFonts w:ascii="宋体" w:hAnsi="宋体" w:cs="宋体"/>
          <w:b/>
          <w:bCs/>
          <w:kern w:val="0"/>
          <w:sz w:val="28"/>
          <w:szCs w:val="28"/>
        </w:rPr>
      </w:pPr>
      <w:r>
        <w:rPr>
          <w:rFonts w:hint="eastAsia" w:ascii="宋体" w:hAnsi="宋体"/>
        </w:rPr>
        <w:t>项目名称：</w:t>
      </w:r>
    </w:p>
    <w:tbl>
      <w:tblPr>
        <w:tblStyle w:val="44"/>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788"/>
        <w:gridCol w:w="3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851" w:type="dxa"/>
            <w:noWrap/>
            <w:vAlign w:val="center"/>
          </w:tcPr>
          <w:p>
            <w:pPr>
              <w:keepNext w:val="0"/>
              <w:keepLines w:val="0"/>
              <w:suppressLineNumbers w:val="0"/>
              <w:spacing w:before="0" w:beforeAutospacing="0" w:after="0" w:afterAutospacing="0" w:line="280" w:lineRule="exact"/>
              <w:ind w:left="0" w:right="0"/>
              <w:jc w:val="center"/>
              <w:rPr>
                <w:rFonts w:ascii="宋体" w:hAnsi="宋体"/>
                <w:b/>
                <w:szCs w:val="21"/>
              </w:rPr>
            </w:pPr>
            <w:r>
              <w:rPr>
                <w:rFonts w:ascii="宋体" w:hAnsi="宋体"/>
                <w:b/>
                <w:szCs w:val="21"/>
              </w:rPr>
              <w:t>序号</w:t>
            </w:r>
          </w:p>
        </w:tc>
        <w:tc>
          <w:tcPr>
            <w:tcW w:w="3788" w:type="dxa"/>
            <w:noWrap/>
            <w:vAlign w:val="center"/>
          </w:tcPr>
          <w:p>
            <w:pPr>
              <w:keepNext w:val="0"/>
              <w:keepLines w:val="0"/>
              <w:suppressLineNumbers w:val="0"/>
              <w:spacing w:before="0" w:beforeAutospacing="0" w:after="0" w:afterAutospacing="0" w:line="280" w:lineRule="exact"/>
              <w:ind w:left="0" w:right="0"/>
              <w:jc w:val="center"/>
              <w:rPr>
                <w:rFonts w:ascii="宋体" w:hAnsi="宋体"/>
                <w:b/>
                <w:szCs w:val="21"/>
              </w:rPr>
            </w:pPr>
            <w:r>
              <w:rPr>
                <w:rFonts w:hint="eastAsia" w:ascii="宋体" w:hAnsi="宋体"/>
                <w:b/>
                <w:szCs w:val="21"/>
              </w:rPr>
              <w:t>评审分项</w:t>
            </w:r>
          </w:p>
        </w:tc>
        <w:tc>
          <w:tcPr>
            <w:tcW w:w="3956" w:type="dxa"/>
            <w:noWrap/>
            <w:vAlign w:val="center"/>
          </w:tcPr>
          <w:p>
            <w:pPr>
              <w:keepNext w:val="0"/>
              <w:keepLines w:val="0"/>
              <w:suppressLineNumbers w:val="0"/>
              <w:spacing w:before="0" w:beforeAutospacing="0" w:after="0" w:afterAutospacing="0" w:line="280" w:lineRule="exact"/>
              <w:ind w:left="0" w:right="0"/>
              <w:jc w:val="center"/>
              <w:rPr>
                <w:rFonts w:ascii="宋体" w:hAnsi="宋体"/>
                <w:b/>
                <w:szCs w:val="21"/>
              </w:rPr>
            </w:pPr>
            <w:r>
              <w:rPr>
                <w:rFonts w:hint="eastAsia" w:ascii="宋体" w:hAnsi="宋体"/>
                <w:b/>
                <w:szCs w:val="21"/>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851" w:type="dxa"/>
            <w:noWrap/>
            <w:vAlign w:val="center"/>
          </w:tcPr>
          <w:p>
            <w:pPr>
              <w:keepNext w:val="0"/>
              <w:keepLines w:val="0"/>
              <w:suppressLineNumbers w:val="0"/>
              <w:spacing w:before="0" w:beforeAutospacing="0" w:after="0" w:afterAutospacing="0" w:line="280" w:lineRule="exact"/>
              <w:ind w:left="0" w:right="0"/>
              <w:jc w:val="center"/>
              <w:rPr>
                <w:rFonts w:ascii="宋体" w:hAnsi="宋体"/>
                <w:szCs w:val="21"/>
              </w:rPr>
            </w:pPr>
            <w:r>
              <w:rPr>
                <w:rFonts w:hint="eastAsia" w:ascii="宋体" w:hAnsi="宋体"/>
                <w:szCs w:val="21"/>
              </w:rPr>
              <w:t>1</w:t>
            </w:r>
          </w:p>
        </w:tc>
        <w:tc>
          <w:tcPr>
            <w:tcW w:w="3788" w:type="dxa"/>
            <w:noWrap/>
            <w:vAlign w:val="center"/>
          </w:tcPr>
          <w:p>
            <w:pPr>
              <w:keepNext w:val="0"/>
              <w:keepLines w:val="0"/>
              <w:widowControl/>
              <w:suppressLineNumbers w:val="0"/>
              <w:spacing w:before="0" w:beforeAutospacing="0" w:after="0" w:afterAutospacing="0"/>
              <w:ind w:left="0" w:right="0"/>
              <w:jc w:val="center"/>
              <w:rPr>
                <w:rFonts w:ascii="宋体" w:hAnsi="宋体" w:cs="仿宋"/>
                <w:kern w:val="0"/>
                <w:szCs w:val="21"/>
              </w:rPr>
            </w:pPr>
          </w:p>
        </w:tc>
        <w:tc>
          <w:tcPr>
            <w:tcW w:w="3956" w:type="dxa"/>
            <w:noWrap/>
            <w:vAlign w:val="center"/>
          </w:tcPr>
          <w:p>
            <w:pPr>
              <w:keepNext w:val="0"/>
              <w:keepLines w:val="0"/>
              <w:suppressLineNumbers w:val="0"/>
              <w:spacing w:before="0" w:beforeAutospacing="0" w:after="0" w:afterAutospacing="0"/>
              <w:ind w:left="0" w:right="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851" w:type="dxa"/>
            <w:noWrap/>
            <w:vAlign w:val="center"/>
          </w:tcPr>
          <w:p>
            <w:pPr>
              <w:keepNext w:val="0"/>
              <w:keepLines w:val="0"/>
              <w:suppressLineNumbers w:val="0"/>
              <w:spacing w:before="0" w:beforeAutospacing="0" w:after="0" w:afterAutospacing="0" w:line="280" w:lineRule="exact"/>
              <w:ind w:left="0" w:right="0"/>
              <w:jc w:val="center"/>
              <w:rPr>
                <w:rFonts w:ascii="宋体" w:hAnsi="宋体"/>
                <w:szCs w:val="21"/>
              </w:rPr>
            </w:pPr>
            <w:r>
              <w:rPr>
                <w:rFonts w:hint="eastAsia" w:ascii="宋体" w:hAnsi="宋体"/>
                <w:szCs w:val="21"/>
              </w:rPr>
              <w:t>2</w:t>
            </w:r>
          </w:p>
        </w:tc>
        <w:tc>
          <w:tcPr>
            <w:tcW w:w="3788" w:type="dxa"/>
            <w:noWrap/>
            <w:vAlign w:val="center"/>
          </w:tcPr>
          <w:p>
            <w:pPr>
              <w:keepNext w:val="0"/>
              <w:keepLines w:val="0"/>
              <w:widowControl/>
              <w:suppressLineNumbers w:val="0"/>
              <w:spacing w:before="0" w:beforeAutospacing="0" w:after="0" w:afterAutospacing="0"/>
              <w:ind w:left="0" w:right="0"/>
              <w:jc w:val="center"/>
              <w:rPr>
                <w:rFonts w:ascii="宋体" w:hAnsi="宋体"/>
                <w:szCs w:val="21"/>
              </w:rPr>
            </w:pPr>
          </w:p>
        </w:tc>
        <w:tc>
          <w:tcPr>
            <w:tcW w:w="3956" w:type="dxa"/>
            <w:noWrap/>
            <w:vAlign w:val="center"/>
          </w:tcPr>
          <w:p>
            <w:pPr>
              <w:keepNext w:val="0"/>
              <w:keepLines w:val="0"/>
              <w:suppressLineNumbers w:val="0"/>
              <w:spacing w:before="0" w:beforeAutospacing="0" w:after="0" w:afterAutospacing="0"/>
              <w:ind w:left="0" w:right="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851" w:type="dxa"/>
            <w:noWrap/>
            <w:vAlign w:val="center"/>
          </w:tcPr>
          <w:p>
            <w:pPr>
              <w:keepNext w:val="0"/>
              <w:keepLines w:val="0"/>
              <w:suppressLineNumbers w:val="0"/>
              <w:spacing w:before="0" w:beforeAutospacing="0" w:after="0" w:afterAutospacing="0" w:line="280" w:lineRule="exact"/>
              <w:ind w:left="0" w:right="0"/>
              <w:jc w:val="center"/>
              <w:rPr>
                <w:rFonts w:ascii="宋体" w:hAnsi="宋体"/>
                <w:szCs w:val="21"/>
              </w:rPr>
            </w:pPr>
            <w:r>
              <w:rPr>
                <w:rFonts w:hint="eastAsia" w:ascii="宋体" w:hAnsi="宋体"/>
                <w:szCs w:val="21"/>
              </w:rPr>
              <w:t>3</w:t>
            </w:r>
          </w:p>
        </w:tc>
        <w:tc>
          <w:tcPr>
            <w:tcW w:w="3788" w:type="dxa"/>
            <w:noWrap/>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3956" w:type="dxa"/>
            <w:noWrap/>
            <w:vAlign w:val="center"/>
          </w:tcPr>
          <w:p>
            <w:pPr>
              <w:keepNext w:val="0"/>
              <w:keepLines w:val="0"/>
              <w:suppressLineNumbers w:val="0"/>
              <w:spacing w:before="0" w:beforeAutospacing="0" w:after="0" w:afterAutospacing="0"/>
              <w:ind w:left="0" w:right="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851" w:type="dxa"/>
            <w:noWrap/>
            <w:vAlign w:val="center"/>
          </w:tcPr>
          <w:p>
            <w:pPr>
              <w:keepNext w:val="0"/>
              <w:keepLines w:val="0"/>
              <w:suppressLineNumbers w:val="0"/>
              <w:spacing w:before="0" w:beforeAutospacing="0" w:after="0" w:afterAutospacing="0" w:line="280" w:lineRule="exact"/>
              <w:ind w:left="0" w:right="0"/>
              <w:jc w:val="center"/>
              <w:rPr>
                <w:rFonts w:ascii="宋体" w:hAnsi="宋体"/>
                <w:szCs w:val="21"/>
              </w:rPr>
            </w:pPr>
            <w:r>
              <w:rPr>
                <w:rFonts w:hint="eastAsia" w:ascii="宋体" w:hAnsi="宋体"/>
                <w:szCs w:val="21"/>
              </w:rPr>
              <w:t>4</w:t>
            </w:r>
          </w:p>
        </w:tc>
        <w:tc>
          <w:tcPr>
            <w:tcW w:w="3788" w:type="dxa"/>
            <w:noWrap/>
            <w:vAlign w:val="center"/>
          </w:tcPr>
          <w:p>
            <w:pPr>
              <w:keepNext w:val="0"/>
              <w:keepLines w:val="0"/>
              <w:suppressLineNumbers w:val="0"/>
              <w:spacing w:before="0" w:beforeAutospacing="0" w:after="0" w:afterAutospacing="0" w:line="360" w:lineRule="auto"/>
              <w:ind w:left="0" w:right="0"/>
              <w:jc w:val="center"/>
              <w:rPr>
                <w:rFonts w:ascii="宋体" w:hAnsi="宋体"/>
                <w:szCs w:val="21"/>
              </w:rPr>
            </w:pPr>
          </w:p>
        </w:tc>
        <w:tc>
          <w:tcPr>
            <w:tcW w:w="3956" w:type="dxa"/>
            <w:noWrap/>
            <w:vAlign w:val="center"/>
          </w:tcPr>
          <w:p>
            <w:pPr>
              <w:keepNext w:val="0"/>
              <w:keepLines w:val="0"/>
              <w:suppressLineNumbers w:val="0"/>
              <w:spacing w:before="0" w:beforeAutospacing="0" w:after="0" w:afterAutospacing="0"/>
              <w:ind w:left="0" w:right="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851" w:type="dxa"/>
            <w:noWrap/>
            <w:vAlign w:val="center"/>
          </w:tcPr>
          <w:p>
            <w:pPr>
              <w:keepNext w:val="0"/>
              <w:keepLines w:val="0"/>
              <w:suppressLineNumbers w:val="0"/>
              <w:spacing w:before="0" w:beforeAutospacing="0" w:after="0" w:afterAutospacing="0" w:line="280" w:lineRule="exact"/>
              <w:ind w:left="0" w:right="0"/>
              <w:jc w:val="center"/>
              <w:rPr>
                <w:rFonts w:ascii="宋体" w:hAnsi="宋体"/>
                <w:szCs w:val="21"/>
              </w:rPr>
            </w:pPr>
            <w:r>
              <w:rPr>
                <w:rFonts w:ascii="宋体" w:hAnsi="宋体"/>
                <w:szCs w:val="21"/>
              </w:rPr>
              <w:t>…</w:t>
            </w:r>
          </w:p>
        </w:tc>
        <w:tc>
          <w:tcPr>
            <w:tcW w:w="3788" w:type="dxa"/>
            <w:noWrap/>
            <w:vAlign w:val="center"/>
          </w:tcPr>
          <w:p>
            <w:pPr>
              <w:keepNext w:val="0"/>
              <w:keepLines w:val="0"/>
              <w:suppressLineNumbers w:val="0"/>
              <w:spacing w:before="0" w:beforeAutospacing="0" w:after="0" w:afterAutospacing="0"/>
              <w:ind w:left="0" w:right="0"/>
              <w:jc w:val="center"/>
              <w:rPr>
                <w:rFonts w:ascii="宋体" w:hAnsi="宋体" w:cs="仿宋"/>
                <w:kern w:val="0"/>
                <w:szCs w:val="21"/>
              </w:rPr>
            </w:pPr>
          </w:p>
        </w:tc>
        <w:tc>
          <w:tcPr>
            <w:tcW w:w="3956" w:type="dxa"/>
            <w:noWrap/>
            <w:vAlign w:val="center"/>
          </w:tcPr>
          <w:p>
            <w:pPr>
              <w:keepNext w:val="0"/>
              <w:keepLines w:val="0"/>
              <w:suppressLineNumbers w:val="0"/>
              <w:spacing w:before="0" w:beforeAutospacing="0" w:after="0" w:afterAutospacing="0"/>
              <w:ind w:left="0" w:right="0"/>
              <w:jc w:val="left"/>
              <w:rPr>
                <w:rFonts w:ascii="宋体" w:hAnsi="宋体"/>
                <w:szCs w:val="21"/>
              </w:rPr>
            </w:pPr>
          </w:p>
        </w:tc>
      </w:tr>
    </w:tbl>
    <w:p>
      <w:pPr>
        <w:tabs>
          <w:tab w:val="left" w:pos="7980"/>
        </w:tabs>
        <w:ind w:firstLine="561"/>
        <w:jc w:val="left"/>
        <w:rPr>
          <w:rFonts w:ascii="宋体" w:hAnsi="宋体"/>
          <w:bCs/>
          <w:szCs w:val="21"/>
        </w:rPr>
      </w:pPr>
      <w:r>
        <w:rPr>
          <w:rFonts w:hint="eastAsia" w:ascii="宋体" w:hAnsi="宋体"/>
          <w:bCs/>
          <w:szCs w:val="21"/>
        </w:rPr>
        <w:t>注：投标人应当根据技术评审表及商务评审表内容提供相应的证明材料，如未提供或提供不全，评委有权认为不具备或不符合，并影响投标人的得分。</w:t>
      </w:r>
    </w:p>
    <w:p>
      <w:pPr>
        <w:keepNext/>
        <w:keepLines/>
        <w:pageBreakBefore/>
        <w:widowControl/>
        <w:rPr>
          <w:rFonts w:ascii="宋体" w:hAnsi="宋体"/>
          <w:b/>
        </w:rPr>
      </w:pPr>
      <w:r>
        <w:rPr>
          <w:rFonts w:hint="eastAsia" w:ascii="宋体" w:hAnsi="宋体"/>
          <w:b/>
        </w:rPr>
        <w:t>二、价格部分</w:t>
      </w:r>
    </w:p>
    <w:p>
      <w:pPr>
        <w:rPr>
          <w:rFonts w:ascii="宋体" w:hAnsi="宋体"/>
          <w:b/>
        </w:rPr>
      </w:pPr>
      <w:r>
        <w:rPr>
          <w:rFonts w:hint="eastAsia" w:ascii="宋体" w:hAnsi="宋体"/>
          <w:b/>
        </w:rPr>
        <w:t>1.开标一览表</w:t>
      </w:r>
    </w:p>
    <w:p>
      <w:pPr>
        <w:rPr>
          <w:rFonts w:ascii="宋体" w:hAnsi="宋体"/>
          <w:b/>
        </w:rPr>
      </w:pPr>
    </w:p>
    <w:p>
      <w:pPr>
        <w:rPr>
          <w:rFonts w:ascii="宋体" w:hAnsi="宋体"/>
          <w:b/>
        </w:rPr>
      </w:pPr>
    </w:p>
    <w:p>
      <w:pPr>
        <w:spacing w:line="360" w:lineRule="auto"/>
        <w:jc w:val="center"/>
        <w:rPr>
          <w:rFonts w:ascii="宋体" w:hAnsi="宋体"/>
          <w:b/>
          <w:sz w:val="28"/>
          <w:szCs w:val="28"/>
        </w:rPr>
      </w:pPr>
      <w:r>
        <w:rPr>
          <w:rFonts w:hint="eastAsia" w:ascii="宋体" w:hAnsi="宋体"/>
          <w:b/>
          <w:sz w:val="28"/>
          <w:szCs w:val="28"/>
        </w:rPr>
        <w:t>开标一览表</w:t>
      </w:r>
    </w:p>
    <w:p>
      <w:pPr>
        <w:spacing w:line="360" w:lineRule="auto"/>
        <w:rPr>
          <w:rFonts w:ascii="宋体" w:hAnsi="宋体" w:cs="Arial"/>
          <w:bCs/>
        </w:rPr>
      </w:pPr>
      <w:r>
        <w:rPr>
          <w:rFonts w:hint="eastAsia" w:ascii="宋体" w:hAnsi="宋体" w:cs="Arial"/>
          <w:bCs/>
        </w:rPr>
        <w:t>项目名称：</w:t>
      </w:r>
    </w:p>
    <w:tbl>
      <w:tblPr>
        <w:tblStyle w:val="44"/>
        <w:tblW w:w="921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0"/>
        <w:gridCol w:w="3260"/>
        <w:gridCol w:w="242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jc w:val="center"/>
        </w:trPr>
        <w:tc>
          <w:tcPr>
            <w:tcW w:w="3530" w:type="dxa"/>
            <w:tcBorders>
              <w:top w:val="doub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ascii="宋体" w:hAnsi="宋体"/>
                <w:b/>
                <w:szCs w:val="21"/>
              </w:rPr>
            </w:pPr>
            <w:r>
              <w:rPr>
                <w:rFonts w:hint="eastAsia" w:ascii="宋体" w:hAnsi="宋体"/>
                <w:b/>
                <w:szCs w:val="21"/>
              </w:rPr>
              <w:t>项目内容</w:t>
            </w:r>
          </w:p>
        </w:tc>
        <w:tc>
          <w:tcPr>
            <w:tcW w:w="3260" w:type="dxa"/>
            <w:tcBorders>
              <w:top w:val="doub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ascii="宋体" w:hAnsi="宋体"/>
                <w:b/>
                <w:szCs w:val="21"/>
              </w:rPr>
            </w:pPr>
            <w:r>
              <w:rPr>
                <w:rFonts w:hint="eastAsia" w:ascii="宋体" w:hAnsi="宋体"/>
                <w:b/>
                <w:szCs w:val="21"/>
              </w:rPr>
              <w:t>投标报价</w:t>
            </w:r>
          </w:p>
        </w:tc>
        <w:tc>
          <w:tcPr>
            <w:tcW w:w="2423" w:type="dxa"/>
            <w:tcBorders>
              <w:top w:val="double" w:color="auto" w:sz="4" w:space="0"/>
              <w:bottom w:val="single" w:color="auto" w:sz="4" w:space="0"/>
            </w:tcBorders>
            <w:vAlign w:val="center"/>
          </w:tcPr>
          <w:p>
            <w:pPr>
              <w:keepNext w:val="0"/>
              <w:keepLines w:val="0"/>
              <w:suppressLineNumbers w:val="0"/>
              <w:spacing w:before="0" w:beforeAutospacing="0" w:after="0" w:afterAutospacing="0"/>
              <w:ind w:left="0" w:right="0"/>
              <w:jc w:val="center"/>
              <w:rPr>
                <w:rFonts w:ascii="宋体" w:hAnsi="宋体"/>
                <w:b/>
                <w:szCs w:val="21"/>
              </w:rPr>
            </w:pPr>
            <w:r>
              <w:rPr>
                <w:rFonts w:hint="eastAsia" w:ascii="宋体" w:hAnsi="宋体"/>
                <w:b/>
                <w:szCs w:val="21"/>
              </w:rPr>
              <w:t>投入资金限额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jc w:val="center"/>
        </w:trPr>
        <w:tc>
          <w:tcPr>
            <w:tcW w:w="3530" w:type="dxa"/>
            <w:tcBorders>
              <w:top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kern w:val="0"/>
                <w:szCs w:val="21"/>
              </w:rPr>
            </w:pPr>
            <w:r>
              <w:rPr>
                <w:rFonts w:hint="eastAsia" w:ascii="宋体" w:hAnsi="宋体" w:cs="宋体"/>
                <w:kern w:val="0"/>
                <w:szCs w:val="21"/>
              </w:rPr>
              <w:t>对广州市番禺区中心医院饭堂改造及环境提升投入资金</w:t>
            </w:r>
          </w:p>
        </w:tc>
        <w:tc>
          <w:tcPr>
            <w:tcW w:w="3260" w:type="dxa"/>
            <w:tcBorders>
              <w:top w:val="single" w:color="auto" w:sz="4" w:space="0"/>
              <w:bottom w:val="single" w:color="auto" w:sz="4" w:space="0"/>
            </w:tcBorders>
            <w:vAlign w:val="center"/>
          </w:tcPr>
          <w:p>
            <w:pPr>
              <w:keepNext w:val="0"/>
              <w:keepLines w:val="0"/>
              <w:suppressLineNumbers w:val="0"/>
              <w:tabs>
                <w:tab w:val="left" w:pos="654"/>
                <w:tab w:val="left" w:pos="1734"/>
                <w:tab w:val="left" w:pos="2814"/>
                <w:tab w:val="left" w:pos="3894"/>
                <w:tab w:val="left" w:pos="5334"/>
                <w:tab w:val="left" w:pos="6414"/>
                <w:tab w:val="left" w:pos="7254"/>
                <w:tab w:val="left" w:pos="8574"/>
                <w:tab w:val="left" w:pos="9654"/>
              </w:tabs>
              <w:spacing w:before="0" w:beforeAutospacing="0" w:after="0" w:afterAutospacing="0"/>
              <w:ind w:left="0" w:right="0"/>
              <w:jc w:val="center"/>
              <w:rPr>
                <w:rFonts w:ascii="宋体" w:hAnsi="宋体" w:cs="Arial"/>
                <w:b/>
                <w:bCs/>
                <w:szCs w:val="21"/>
                <w:u w:val="single"/>
              </w:rPr>
            </w:pPr>
            <w:r>
              <w:rPr>
                <w:rFonts w:hint="eastAsia" w:ascii="宋体" w:hAnsi="宋体" w:cs="Arial"/>
                <w:b/>
                <w:bCs/>
                <w:szCs w:val="21"/>
                <w:u w:val="single"/>
              </w:rPr>
              <w:t xml:space="preserve">          元</w:t>
            </w:r>
          </w:p>
        </w:tc>
        <w:tc>
          <w:tcPr>
            <w:tcW w:w="2423" w:type="dxa"/>
            <w:tcBorders>
              <w:top w:val="single" w:color="auto" w:sz="4" w:space="0"/>
              <w:bottom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bCs/>
                <w:szCs w:val="21"/>
              </w:rPr>
            </w:pPr>
            <w:r>
              <w:rPr>
                <w:rFonts w:hint="eastAsia" w:ascii="宋体" w:hAnsi="宋体"/>
                <w:bCs/>
                <w:szCs w:val="21"/>
              </w:rPr>
              <w:t>不少于人民币395万元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jc w:val="center"/>
        </w:trPr>
        <w:tc>
          <w:tcPr>
            <w:tcW w:w="3530" w:type="dxa"/>
            <w:tcBorders>
              <w:top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kern w:val="0"/>
                <w:szCs w:val="21"/>
              </w:rPr>
            </w:pPr>
            <w:r>
              <w:rPr>
                <w:rFonts w:hint="eastAsia" w:ascii="宋体" w:hAnsi="宋体" w:cs="宋体"/>
                <w:kern w:val="0"/>
                <w:szCs w:val="21"/>
              </w:rPr>
              <w:t>对广州市番禺区中心医院饭堂现有设备进行维护和更新投入资金</w:t>
            </w:r>
          </w:p>
        </w:tc>
        <w:tc>
          <w:tcPr>
            <w:tcW w:w="3260" w:type="dxa"/>
            <w:tcBorders>
              <w:top w:val="single" w:color="auto" w:sz="4" w:space="0"/>
              <w:bottom w:val="single" w:color="auto" w:sz="4" w:space="0"/>
            </w:tcBorders>
            <w:vAlign w:val="center"/>
          </w:tcPr>
          <w:p>
            <w:pPr>
              <w:keepNext w:val="0"/>
              <w:keepLines w:val="0"/>
              <w:suppressLineNumbers w:val="0"/>
              <w:tabs>
                <w:tab w:val="left" w:pos="654"/>
                <w:tab w:val="left" w:pos="1734"/>
                <w:tab w:val="left" w:pos="2814"/>
                <w:tab w:val="left" w:pos="3894"/>
                <w:tab w:val="left" w:pos="5334"/>
                <w:tab w:val="left" w:pos="6414"/>
                <w:tab w:val="left" w:pos="7254"/>
                <w:tab w:val="left" w:pos="8574"/>
                <w:tab w:val="left" w:pos="9654"/>
              </w:tabs>
              <w:spacing w:before="0" w:beforeAutospacing="0" w:after="0" w:afterAutospacing="0"/>
              <w:ind w:left="0" w:right="0"/>
              <w:jc w:val="center"/>
              <w:rPr>
                <w:rFonts w:ascii="宋体" w:hAnsi="宋体" w:cs="Arial"/>
                <w:b/>
                <w:bCs/>
                <w:szCs w:val="21"/>
              </w:rPr>
            </w:pPr>
            <w:r>
              <w:rPr>
                <w:rFonts w:hint="eastAsia" w:ascii="宋体" w:hAnsi="宋体" w:cs="Arial"/>
                <w:b/>
                <w:bCs/>
                <w:szCs w:val="21"/>
                <w:u w:val="single"/>
              </w:rPr>
              <w:t xml:space="preserve">          元</w:t>
            </w:r>
          </w:p>
        </w:tc>
        <w:tc>
          <w:tcPr>
            <w:tcW w:w="2423" w:type="dxa"/>
            <w:tcBorders>
              <w:top w:val="single" w:color="auto" w:sz="4" w:space="0"/>
              <w:bottom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bCs/>
                <w:szCs w:val="21"/>
              </w:rPr>
            </w:pPr>
            <w:r>
              <w:rPr>
                <w:rFonts w:hint="eastAsia" w:ascii="宋体" w:hAnsi="宋体"/>
                <w:bCs/>
                <w:szCs w:val="21"/>
              </w:rPr>
              <w:t>不少于人民币50万元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jc w:val="center"/>
        </w:trPr>
        <w:tc>
          <w:tcPr>
            <w:tcW w:w="3530" w:type="dxa"/>
            <w:tcBorders>
              <w:top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kern w:val="0"/>
                <w:szCs w:val="21"/>
              </w:rPr>
            </w:pPr>
            <w:r>
              <w:rPr>
                <w:rFonts w:hint="eastAsia" w:ascii="宋体" w:hAnsi="宋体" w:cs="宋体"/>
                <w:kern w:val="0"/>
                <w:szCs w:val="21"/>
              </w:rPr>
              <w:t>对广州市番禺区第七人民医院饭堂进行改造投入资金</w:t>
            </w:r>
          </w:p>
        </w:tc>
        <w:tc>
          <w:tcPr>
            <w:tcW w:w="3260" w:type="dxa"/>
            <w:tcBorders>
              <w:top w:val="single" w:color="auto" w:sz="4" w:space="0"/>
              <w:bottom w:val="single" w:color="auto" w:sz="4" w:space="0"/>
            </w:tcBorders>
            <w:vAlign w:val="center"/>
          </w:tcPr>
          <w:p>
            <w:pPr>
              <w:keepNext w:val="0"/>
              <w:keepLines w:val="0"/>
              <w:suppressLineNumbers w:val="0"/>
              <w:tabs>
                <w:tab w:val="left" w:pos="654"/>
                <w:tab w:val="left" w:pos="1734"/>
                <w:tab w:val="left" w:pos="2814"/>
                <w:tab w:val="left" w:pos="3894"/>
                <w:tab w:val="left" w:pos="5334"/>
                <w:tab w:val="left" w:pos="6414"/>
                <w:tab w:val="left" w:pos="7254"/>
                <w:tab w:val="left" w:pos="8574"/>
                <w:tab w:val="left" w:pos="9654"/>
              </w:tabs>
              <w:spacing w:before="0" w:beforeAutospacing="0" w:after="0" w:afterAutospacing="0"/>
              <w:ind w:left="0" w:right="0"/>
              <w:jc w:val="center"/>
              <w:rPr>
                <w:rFonts w:ascii="宋体" w:hAnsi="宋体" w:cs="Arial"/>
                <w:b/>
                <w:bCs/>
                <w:szCs w:val="21"/>
              </w:rPr>
            </w:pPr>
            <w:r>
              <w:rPr>
                <w:rFonts w:hint="eastAsia" w:ascii="宋体" w:hAnsi="宋体" w:cs="Arial"/>
                <w:b/>
                <w:bCs/>
                <w:szCs w:val="21"/>
                <w:u w:val="single"/>
              </w:rPr>
              <w:t xml:space="preserve">          元</w:t>
            </w:r>
          </w:p>
        </w:tc>
        <w:tc>
          <w:tcPr>
            <w:tcW w:w="2423" w:type="dxa"/>
            <w:tcBorders>
              <w:top w:val="single" w:color="auto" w:sz="4" w:space="0"/>
              <w:bottom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bCs/>
                <w:szCs w:val="21"/>
              </w:rPr>
            </w:pPr>
            <w:r>
              <w:rPr>
                <w:rFonts w:hint="eastAsia" w:ascii="宋体" w:hAnsi="宋体"/>
                <w:bCs/>
                <w:szCs w:val="21"/>
              </w:rPr>
              <w:t>不少于人民币20万元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jc w:val="center"/>
        </w:trPr>
        <w:tc>
          <w:tcPr>
            <w:tcW w:w="3530" w:type="dxa"/>
            <w:tcBorders>
              <w:top w:val="single" w:color="auto" w:sz="4" w:space="0"/>
            </w:tcBorders>
            <w:vAlign w:val="center"/>
          </w:tcPr>
          <w:p>
            <w:pPr>
              <w:keepNext w:val="0"/>
              <w:keepLines w:val="0"/>
              <w:widowControl/>
              <w:suppressLineNumbers w:val="0"/>
              <w:spacing w:before="0" w:beforeAutospacing="0" w:after="0" w:afterAutospacing="0"/>
              <w:ind w:left="0" w:right="0"/>
              <w:jc w:val="center"/>
              <w:rPr>
                <w:rFonts w:ascii="宋体" w:hAnsi="宋体" w:cs="宋体"/>
                <w:kern w:val="0"/>
                <w:szCs w:val="21"/>
              </w:rPr>
            </w:pPr>
            <w:r>
              <w:rPr>
                <w:rFonts w:hint="eastAsia" w:ascii="宋体" w:hAnsi="宋体"/>
                <w:b/>
                <w:szCs w:val="21"/>
              </w:rPr>
              <w:t>投入资金总额</w:t>
            </w:r>
          </w:p>
        </w:tc>
        <w:tc>
          <w:tcPr>
            <w:tcW w:w="3260" w:type="dxa"/>
            <w:tcBorders>
              <w:top w:val="single" w:color="auto" w:sz="4" w:space="0"/>
            </w:tcBorders>
            <w:vAlign w:val="center"/>
          </w:tcPr>
          <w:p>
            <w:pPr>
              <w:keepNext w:val="0"/>
              <w:keepLines w:val="0"/>
              <w:suppressLineNumbers w:val="0"/>
              <w:tabs>
                <w:tab w:val="left" w:pos="654"/>
                <w:tab w:val="left" w:pos="1734"/>
                <w:tab w:val="left" w:pos="2814"/>
                <w:tab w:val="left" w:pos="3894"/>
                <w:tab w:val="left" w:pos="5334"/>
                <w:tab w:val="left" w:pos="6414"/>
                <w:tab w:val="left" w:pos="7254"/>
                <w:tab w:val="left" w:pos="8574"/>
                <w:tab w:val="left" w:pos="9654"/>
              </w:tabs>
              <w:spacing w:before="0" w:beforeAutospacing="0" w:after="0" w:afterAutospacing="0"/>
              <w:ind w:left="0" w:right="0"/>
              <w:jc w:val="center"/>
              <w:rPr>
                <w:rFonts w:ascii="宋体" w:hAnsi="宋体" w:cs="Arial"/>
                <w:bCs/>
                <w:szCs w:val="21"/>
              </w:rPr>
            </w:pPr>
            <w:r>
              <w:rPr>
                <w:rFonts w:hint="eastAsia" w:ascii="宋体" w:hAnsi="宋体" w:cs="Arial"/>
                <w:b/>
                <w:bCs/>
                <w:szCs w:val="21"/>
                <w:u w:val="single"/>
              </w:rPr>
              <w:t xml:space="preserve">          元</w:t>
            </w:r>
          </w:p>
        </w:tc>
        <w:tc>
          <w:tcPr>
            <w:tcW w:w="2423" w:type="dxa"/>
            <w:tcBorders>
              <w:top w:val="sing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bCs/>
                <w:szCs w:val="21"/>
              </w:rPr>
            </w:pPr>
            <w:r>
              <w:rPr>
                <w:rFonts w:hint="eastAsia" w:ascii="宋体" w:hAnsi="宋体"/>
                <w:bCs/>
                <w:szCs w:val="21"/>
              </w:rPr>
              <w:t>不少于人民币465万元</w:t>
            </w:r>
          </w:p>
        </w:tc>
      </w:tr>
    </w:tbl>
    <w:p>
      <w:pPr>
        <w:spacing w:line="360" w:lineRule="auto"/>
        <w:ind w:left="735" w:hanging="735" w:hangingChars="350"/>
        <w:rPr>
          <w:rFonts w:ascii="宋体" w:hAnsi="宋体"/>
        </w:rPr>
      </w:pPr>
      <w:r>
        <w:rPr>
          <w:rFonts w:hint="eastAsia" w:ascii="宋体" w:hAnsi="宋体"/>
        </w:rPr>
        <w:t>注：</w:t>
      </w:r>
    </w:p>
    <w:p>
      <w:pPr>
        <w:spacing w:line="360" w:lineRule="auto"/>
        <w:ind w:firstLine="420" w:firstLineChars="200"/>
        <w:rPr>
          <w:rFonts w:ascii="宋体" w:hAnsi="宋体"/>
        </w:rPr>
      </w:pPr>
      <w:r>
        <w:rPr>
          <w:rFonts w:hint="eastAsia" w:ascii="宋体" w:hAnsi="宋体"/>
          <w:lang w:val="en-US" w:eastAsia="zh-CN"/>
        </w:rPr>
        <w:t>1</w:t>
      </w:r>
      <w:r>
        <w:rPr>
          <w:rFonts w:hint="eastAsia" w:ascii="宋体" w:hAnsi="宋体"/>
        </w:rPr>
        <w:t>.投标文件中开标一览表内容与投标文件对应内容不一致的，以开标一览表为准。</w:t>
      </w:r>
    </w:p>
    <w:p>
      <w:pPr>
        <w:tabs>
          <w:tab w:val="left" w:pos="8205"/>
        </w:tabs>
        <w:spacing w:line="360" w:lineRule="auto"/>
        <w:ind w:firstLine="420" w:firstLineChars="200"/>
        <w:rPr>
          <w:rFonts w:ascii="宋体" w:hAnsi="宋体"/>
        </w:rPr>
      </w:pPr>
      <w:r>
        <w:rPr>
          <w:rFonts w:hint="eastAsia" w:ascii="宋体" w:hAnsi="宋体"/>
          <w:lang w:val="en-US" w:eastAsia="zh-CN"/>
        </w:rPr>
        <w:t>2</w:t>
      </w:r>
      <w:r>
        <w:rPr>
          <w:rFonts w:hint="eastAsia" w:ascii="宋体" w:hAnsi="宋体"/>
        </w:rPr>
        <w:t>.对含糊不清或不确定的报价将视为无效报价。</w:t>
      </w:r>
      <w:r>
        <w:rPr>
          <w:rFonts w:ascii="宋体" w:hAnsi="宋体"/>
        </w:rPr>
        <w:tab/>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3885" w:firstLineChars="1850"/>
        <w:rPr>
          <w:rFonts w:ascii="宋体" w:hAnsi="宋体"/>
          <w:szCs w:val="21"/>
        </w:rPr>
      </w:pPr>
      <w:r>
        <w:rPr>
          <w:rFonts w:hint="eastAsia" w:ascii="宋体" w:hAnsi="宋体"/>
          <w:szCs w:val="21"/>
        </w:rPr>
        <w:t>投标人全称（盖公章）：</w:t>
      </w:r>
    </w:p>
    <w:p>
      <w:pPr>
        <w:spacing w:line="360" w:lineRule="auto"/>
        <w:ind w:left="3885" w:leftChars="200" w:hanging="3465" w:hangingChars="1650"/>
        <w:rPr>
          <w:rFonts w:ascii="宋体" w:hAnsi="宋体"/>
        </w:rPr>
      </w:pPr>
      <w:r>
        <w:rPr>
          <w:rFonts w:hint="eastAsia" w:ascii="宋体" w:hAnsi="宋体"/>
        </w:rPr>
        <w:t xml:space="preserve">                                 法定代表人或授权代表（签字或盖章）：</w:t>
      </w:r>
    </w:p>
    <w:p>
      <w:pPr>
        <w:spacing w:afterLines="2000" w:line="360" w:lineRule="auto"/>
        <w:ind w:left="3885" w:leftChars="200" w:hanging="3465" w:hangingChars="1650"/>
        <w:rPr>
          <w:rFonts w:ascii="宋体" w:hAnsi="宋体"/>
        </w:rPr>
      </w:pPr>
      <w:r>
        <w:rPr>
          <w:rFonts w:hint="eastAsia" w:ascii="宋体" w:hAnsi="宋体"/>
        </w:rPr>
        <w:t xml:space="preserve">                                 日       期：</w:t>
      </w:r>
    </w:p>
    <w:p>
      <w:pPr>
        <w:widowControl/>
        <w:spacing w:line="240" w:lineRule="auto"/>
        <w:jc w:val="left"/>
        <w:rPr>
          <w:rFonts w:ascii="宋体" w:hAnsi="宋体"/>
          <w:b/>
        </w:rPr>
      </w:pPr>
      <w:r>
        <w:rPr>
          <w:rFonts w:hint="eastAsia" w:ascii="宋体" w:hAnsi="宋体"/>
          <w:b/>
        </w:rPr>
        <w:t>2.投入资金明细表</w:t>
      </w:r>
    </w:p>
    <w:p>
      <w:pPr>
        <w:pStyle w:val="101"/>
        <w:tabs>
          <w:tab w:val="left" w:pos="3840"/>
        </w:tabs>
        <w:spacing w:line="280" w:lineRule="exact"/>
        <w:ind w:left="420" w:firstLine="0" w:firstLineChars="0"/>
        <w:jc w:val="center"/>
        <w:rPr>
          <w:rFonts w:ascii="宋体" w:hAnsi="宋体"/>
          <w:b/>
          <w:sz w:val="28"/>
          <w:szCs w:val="28"/>
        </w:rPr>
      </w:pPr>
    </w:p>
    <w:p>
      <w:pPr>
        <w:pStyle w:val="101"/>
        <w:tabs>
          <w:tab w:val="left" w:pos="3840"/>
        </w:tabs>
        <w:spacing w:line="280" w:lineRule="exact"/>
        <w:ind w:left="420" w:firstLine="0" w:firstLineChars="0"/>
        <w:jc w:val="center"/>
        <w:rPr>
          <w:rFonts w:ascii="宋体" w:hAnsi="宋体"/>
          <w:b/>
          <w:sz w:val="28"/>
          <w:szCs w:val="28"/>
        </w:rPr>
      </w:pPr>
      <w:r>
        <w:rPr>
          <w:rFonts w:hint="eastAsia" w:ascii="宋体" w:hAnsi="宋体"/>
          <w:b/>
          <w:sz w:val="28"/>
          <w:szCs w:val="28"/>
        </w:rPr>
        <w:t>投入资金明细表</w:t>
      </w:r>
    </w:p>
    <w:p>
      <w:pPr>
        <w:rPr>
          <w:rFonts w:ascii="宋体" w:hAnsi="宋体"/>
          <w:szCs w:val="21"/>
        </w:rPr>
      </w:pPr>
    </w:p>
    <w:p>
      <w:pPr>
        <w:rPr>
          <w:rFonts w:ascii="宋体" w:hAnsi="宋体"/>
          <w:szCs w:val="21"/>
        </w:rPr>
      </w:pPr>
      <w:r>
        <w:rPr>
          <w:rFonts w:hint="eastAsia" w:ascii="宋体" w:hAnsi="宋体"/>
          <w:szCs w:val="21"/>
        </w:rPr>
        <w:t>项目名称：</w:t>
      </w:r>
    </w:p>
    <w:tbl>
      <w:tblPr>
        <w:tblStyle w:val="44"/>
        <w:tblW w:w="9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143"/>
        <w:gridCol w:w="1865"/>
        <w:gridCol w:w="1134"/>
        <w:gridCol w:w="1134"/>
        <w:gridCol w:w="1276"/>
        <w:gridCol w:w="96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2" w:type="dxa"/>
            <w:tcBorders>
              <w:top w:val="double" w:color="auto" w:sz="4" w:space="0"/>
              <w:left w:val="double" w:color="auto" w:sz="4" w:space="0"/>
            </w:tcBorders>
            <w:vAlign w:val="center"/>
          </w:tcPr>
          <w:p>
            <w:pPr>
              <w:keepNext w:val="0"/>
              <w:keepLines w:val="0"/>
              <w:suppressLineNumbers w:val="0"/>
              <w:spacing w:before="0" w:beforeAutospacing="0" w:after="0" w:afterAutospacing="0"/>
              <w:ind w:left="-8" w:leftChars="-30" w:right="0" w:hanging="55" w:hangingChars="26"/>
              <w:jc w:val="center"/>
              <w:rPr>
                <w:rFonts w:ascii="宋体" w:hAnsi="宋体"/>
                <w:b/>
                <w:bCs/>
                <w:szCs w:val="21"/>
              </w:rPr>
            </w:pPr>
            <w:r>
              <w:rPr>
                <w:rFonts w:hint="eastAsia" w:ascii="宋体" w:hAnsi="宋体"/>
                <w:b/>
                <w:bCs/>
                <w:szCs w:val="21"/>
              </w:rPr>
              <w:t>序号</w:t>
            </w:r>
          </w:p>
        </w:tc>
        <w:tc>
          <w:tcPr>
            <w:tcW w:w="1143" w:type="dxa"/>
            <w:tcBorders>
              <w:top w:val="double" w:color="auto" w:sz="4" w:space="0"/>
            </w:tcBorders>
            <w:vAlign w:val="center"/>
          </w:tcPr>
          <w:p>
            <w:pPr>
              <w:keepNext w:val="0"/>
              <w:keepLines w:val="0"/>
              <w:suppressLineNumbers w:val="0"/>
              <w:spacing w:before="0" w:beforeAutospacing="0" w:after="0" w:afterAutospacing="0"/>
              <w:ind w:left="0" w:right="0"/>
              <w:jc w:val="center"/>
              <w:rPr>
                <w:rFonts w:ascii="宋体" w:hAnsi="宋体"/>
                <w:b/>
                <w:bCs/>
                <w:szCs w:val="21"/>
              </w:rPr>
            </w:pPr>
            <w:r>
              <w:rPr>
                <w:rFonts w:hint="eastAsia" w:ascii="宋体" w:hAnsi="宋体"/>
                <w:b/>
                <w:bCs/>
                <w:szCs w:val="21"/>
              </w:rPr>
              <w:t>名称</w:t>
            </w:r>
          </w:p>
        </w:tc>
        <w:tc>
          <w:tcPr>
            <w:tcW w:w="1865" w:type="dxa"/>
            <w:tcBorders>
              <w:top w:val="double" w:color="auto" w:sz="4" w:space="0"/>
            </w:tcBorders>
            <w:vAlign w:val="center"/>
          </w:tcPr>
          <w:p>
            <w:pPr>
              <w:keepNext w:val="0"/>
              <w:keepLines w:val="0"/>
              <w:suppressLineNumbers w:val="0"/>
              <w:spacing w:before="0" w:beforeAutospacing="0" w:after="0" w:afterAutospacing="0"/>
              <w:ind w:left="0" w:right="0"/>
              <w:jc w:val="center"/>
              <w:rPr>
                <w:rFonts w:ascii="宋体" w:hAnsi="宋体"/>
                <w:b/>
                <w:bCs/>
                <w:szCs w:val="21"/>
              </w:rPr>
            </w:pPr>
            <w:r>
              <w:rPr>
                <w:rFonts w:hint="eastAsia" w:ascii="宋体" w:hAnsi="宋体"/>
                <w:b/>
                <w:szCs w:val="21"/>
              </w:rPr>
              <w:t>说明</w:t>
            </w:r>
          </w:p>
        </w:tc>
        <w:tc>
          <w:tcPr>
            <w:tcW w:w="1134" w:type="dxa"/>
            <w:tcBorders>
              <w:top w:val="double" w:color="auto" w:sz="4" w:space="0"/>
            </w:tcBorders>
            <w:vAlign w:val="center"/>
          </w:tcPr>
          <w:p>
            <w:pPr>
              <w:keepNext w:val="0"/>
              <w:keepLines w:val="0"/>
              <w:suppressLineNumbers w:val="0"/>
              <w:spacing w:before="0" w:beforeAutospacing="0" w:after="0" w:afterAutospacing="0"/>
              <w:ind w:left="0" w:right="0"/>
              <w:jc w:val="center"/>
              <w:rPr>
                <w:rFonts w:ascii="宋体" w:hAnsi="宋体"/>
                <w:b/>
                <w:bCs/>
                <w:szCs w:val="21"/>
              </w:rPr>
            </w:pPr>
            <w:r>
              <w:rPr>
                <w:rFonts w:hint="eastAsia" w:ascii="宋体" w:hAnsi="宋体"/>
                <w:b/>
                <w:bCs/>
                <w:szCs w:val="21"/>
              </w:rPr>
              <w:t>单位</w:t>
            </w:r>
          </w:p>
        </w:tc>
        <w:tc>
          <w:tcPr>
            <w:tcW w:w="1134" w:type="dxa"/>
            <w:tcBorders>
              <w:top w:val="double" w:color="auto" w:sz="4" w:space="0"/>
            </w:tcBorders>
            <w:vAlign w:val="center"/>
          </w:tcPr>
          <w:p>
            <w:pPr>
              <w:keepNext w:val="0"/>
              <w:keepLines w:val="0"/>
              <w:suppressLineNumbers w:val="0"/>
              <w:spacing w:before="0" w:beforeAutospacing="0" w:after="0" w:afterAutospacing="0"/>
              <w:ind w:left="0" w:right="0"/>
              <w:jc w:val="center"/>
              <w:rPr>
                <w:rFonts w:ascii="宋体" w:hAnsi="宋体"/>
                <w:b/>
                <w:bCs/>
                <w:szCs w:val="21"/>
              </w:rPr>
            </w:pPr>
            <w:r>
              <w:rPr>
                <w:rFonts w:hint="eastAsia" w:ascii="宋体" w:hAnsi="宋体"/>
                <w:b/>
                <w:bCs/>
                <w:szCs w:val="21"/>
              </w:rPr>
              <w:t>数量</w:t>
            </w:r>
          </w:p>
        </w:tc>
        <w:tc>
          <w:tcPr>
            <w:tcW w:w="1276" w:type="dxa"/>
            <w:tcBorders>
              <w:top w:val="double" w:color="auto" w:sz="4" w:space="0"/>
            </w:tcBorders>
            <w:vAlign w:val="center"/>
          </w:tcPr>
          <w:p>
            <w:pPr>
              <w:keepNext w:val="0"/>
              <w:keepLines w:val="0"/>
              <w:suppressLineNumbers w:val="0"/>
              <w:spacing w:before="0" w:beforeAutospacing="0" w:after="0" w:afterAutospacing="0"/>
              <w:ind w:left="0" w:right="0"/>
              <w:jc w:val="center"/>
              <w:rPr>
                <w:rFonts w:ascii="宋体" w:hAnsi="宋体"/>
                <w:b/>
                <w:bCs/>
                <w:szCs w:val="21"/>
              </w:rPr>
            </w:pPr>
            <w:r>
              <w:rPr>
                <w:rFonts w:hint="eastAsia" w:ascii="宋体" w:hAnsi="宋体"/>
                <w:b/>
                <w:bCs/>
                <w:szCs w:val="21"/>
              </w:rPr>
              <w:t>单价</w:t>
            </w:r>
          </w:p>
        </w:tc>
        <w:tc>
          <w:tcPr>
            <w:tcW w:w="963" w:type="dxa"/>
            <w:tcBorders>
              <w:top w:val="double" w:color="auto" w:sz="4" w:space="0"/>
            </w:tcBorders>
            <w:vAlign w:val="center"/>
          </w:tcPr>
          <w:p>
            <w:pPr>
              <w:keepNext w:val="0"/>
              <w:keepLines w:val="0"/>
              <w:suppressLineNumbers w:val="0"/>
              <w:spacing w:before="0" w:beforeAutospacing="0" w:after="0" w:afterAutospacing="0"/>
              <w:ind w:left="0" w:right="0"/>
              <w:jc w:val="center"/>
              <w:rPr>
                <w:rFonts w:ascii="宋体" w:hAnsi="宋体"/>
                <w:b/>
                <w:bCs/>
                <w:szCs w:val="21"/>
              </w:rPr>
            </w:pPr>
            <w:r>
              <w:rPr>
                <w:rFonts w:hint="eastAsia" w:ascii="宋体" w:hAnsi="宋体"/>
                <w:b/>
                <w:bCs/>
                <w:szCs w:val="21"/>
              </w:rPr>
              <w:t>合计</w:t>
            </w:r>
          </w:p>
        </w:tc>
        <w:tc>
          <w:tcPr>
            <w:tcW w:w="1276" w:type="dxa"/>
            <w:tcBorders>
              <w:top w:val="double" w:color="auto" w:sz="4" w:space="0"/>
              <w:right w:val="double" w:color="auto" w:sz="4" w:space="0"/>
            </w:tcBorders>
            <w:vAlign w:val="center"/>
          </w:tcPr>
          <w:p>
            <w:pPr>
              <w:keepNext w:val="0"/>
              <w:keepLines w:val="0"/>
              <w:suppressLineNumbers w:val="0"/>
              <w:spacing w:before="0" w:beforeAutospacing="0" w:after="0" w:afterAutospacing="0"/>
              <w:ind w:left="0" w:right="0"/>
              <w:jc w:val="center"/>
              <w:rPr>
                <w:rFonts w:ascii="宋体" w:hAnsi="宋体"/>
                <w:b/>
                <w:bCs/>
                <w:szCs w:val="21"/>
              </w:rPr>
            </w:pPr>
            <w:r>
              <w:rPr>
                <w:rFonts w:hint="eastAsia" w:ascii="宋体" w:hAnsi="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2" w:type="dxa"/>
            <w:tcBorders>
              <w:left w:val="double" w:color="auto" w:sz="4" w:space="0"/>
            </w:tcBorders>
            <w:vAlign w:val="center"/>
          </w:tcPr>
          <w:p>
            <w:pPr>
              <w:keepNext w:val="0"/>
              <w:keepLines w:val="0"/>
              <w:suppressLineNumbers w:val="0"/>
              <w:spacing w:before="0" w:beforeAutospacing="0" w:after="0" w:afterAutospacing="0"/>
              <w:ind w:left="0" w:right="0"/>
              <w:jc w:val="center"/>
              <w:rPr>
                <w:rFonts w:ascii="宋体" w:hAnsi="宋体"/>
                <w:bCs/>
                <w:szCs w:val="21"/>
              </w:rPr>
            </w:pPr>
          </w:p>
        </w:tc>
        <w:tc>
          <w:tcPr>
            <w:tcW w:w="1143" w:type="dxa"/>
            <w:vAlign w:val="center"/>
          </w:tcPr>
          <w:p>
            <w:pPr>
              <w:pStyle w:val="136"/>
              <w:keepNext w:val="0"/>
              <w:keepLines w:val="0"/>
              <w:widowControl w:val="0"/>
              <w:suppressLineNumbers w:val="0"/>
              <w:spacing w:before="0" w:beforeAutospacing="0" w:after="0" w:afterAutospacing="0"/>
              <w:ind w:left="0" w:right="0"/>
              <w:rPr>
                <w:bCs/>
                <w:kern w:val="2"/>
                <w:sz w:val="21"/>
                <w:szCs w:val="21"/>
              </w:rPr>
            </w:pPr>
          </w:p>
        </w:tc>
        <w:tc>
          <w:tcPr>
            <w:tcW w:w="1865" w:type="dxa"/>
            <w:vAlign w:val="center"/>
          </w:tcPr>
          <w:p>
            <w:pPr>
              <w:pStyle w:val="136"/>
              <w:keepNext w:val="0"/>
              <w:keepLines w:val="0"/>
              <w:suppressLineNumbers w:val="0"/>
              <w:spacing w:before="0" w:beforeAutospacing="0" w:after="0" w:afterAutospacing="0"/>
              <w:ind w:left="0" w:right="0"/>
              <w:rPr>
                <w:bCs/>
                <w:sz w:val="21"/>
                <w:szCs w:val="21"/>
              </w:rPr>
            </w:pPr>
          </w:p>
        </w:tc>
        <w:tc>
          <w:tcPr>
            <w:tcW w:w="1134" w:type="dxa"/>
            <w:vAlign w:val="center"/>
          </w:tcPr>
          <w:p>
            <w:pPr>
              <w:pStyle w:val="136"/>
              <w:keepNext w:val="0"/>
              <w:keepLines w:val="0"/>
              <w:suppressLineNumbers w:val="0"/>
              <w:ind w:left="0" w:right="0"/>
              <w:rPr>
                <w:bCs/>
                <w:sz w:val="21"/>
                <w:szCs w:val="21"/>
              </w:rPr>
            </w:pPr>
          </w:p>
        </w:tc>
        <w:tc>
          <w:tcPr>
            <w:tcW w:w="1134" w:type="dxa"/>
            <w:vAlign w:val="center"/>
          </w:tcPr>
          <w:p>
            <w:pPr>
              <w:keepNext w:val="0"/>
              <w:keepLines w:val="0"/>
              <w:suppressLineNumbers w:val="0"/>
              <w:spacing w:before="0" w:beforeAutospacing="0" w:after="0" w:afterAutospacing="0"/>
              <w:ind w:left="0" w:right="0"/>
              <w:jc w:val="center"/>
              <w:rPr>
                <w:rFonts w:ascii="宋体" w:hAnsi="宋体"/>
                <w:bCs/>
                <w:szCs w:val="21"/>
              </w:rPr>
            </w:pPr>
          </w:p>
        </w:tc>
        <w:tc>
          <w:tcPr>
            <w:tcW w:w="1276" w:type="dxa"/>
            <w:vAlign w:val="center"/>
          </w:tcPr>
          <w:p>
            <w:pPr>
              <w:keepNext w:val="0"/>
              <w:keepLines w:val="0"/>
              <w:suppressLineNumbers w:val="0"/>
              <w:spacing w:before="0" w:beforeAutospacing="0" w:after="0" w:afterAutospacing="0"/>
              <w:ind w:left="0" w:right="0"/>
              <w:jc w:val="center"/>
              <w:rPr>
                <w:rFonts w:ascii="宋体" w:hAnsi="宋体"/>
                <w:bCs/>
                <w:szCs w:val="21"/>
              </w:rPr>
            </w:pPr>
          </w:p>
        </w:tc>
        <w:tc>
          <w:tcPr>
            <w:tcW w:w="963" w:type="dxa"/>
            <w:vAlign w:val="center"/>
          </w:tcPr>
          <w:p>
            <w:pPr>
              <w:keepNext w:val="0"/>
              <w:keepLines w:val="0"/>
              <w:suppressLineNumbers w:val="0"/>
              <w:spacing w:before="0" w:beforeAutospacing="0" w:after="0" w:afterAutospacing="0"/>
              <w:ind w:left="0" w:right="0"/>
              <w:jc w:val="center"/>
              <w:rPr>
                <w:rFonts w:ascii="宋体" w:hAnsi="宋体"/>
                <w:bCs/>
                <w:szCs w:val="21"/>
              </w:rPr>
            </w:pPr>
          </w:p>
        </w:tc>
        <w:tc>
          <w:tcPr>
            <w:tcW w:w="1276" w:type="dxa"/>
            <w:tcBorders>
              <w:right w:val="double" w:color="auto" w:sz="4" w:space="0"/>
            </w:tcBorders>
            <w:vAlign w:val="center"/>
          </w:tcPr>
          <w:p>
            <w:pPr>
              <w:keepNext w:val="0"/>
              <w:keepLines w:val="0"/>
              <w:suppressLineNumbers w:val="0"/>
              <w:spacing w:before="0" w:beforeAutospacing="0" w:after="0" w:afterAutospacing="0"/>
              <w:ind w:left="0" w:right="0"/>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2" w:type="dxa"/>
            <w:tcBorders>
              <w:left w:val="double" w:color="auto" w:sz="4" w:space="0"/>
            </w:tcBorders>
            <w:vAlign w:val="center"/>
          </w:tcPr>
          <w:p>
            <w:pPr>
              <w:keepNext w:val="0"/>
              <w:keepLines w:val="0"/>
              <w:suppressLineNumbers w:val="0"/>
              <w:spacing w:before="0" w:beforeAutospacing="0" w:after="0" w:afterAutospacing="0"/>
              <w:ind w:left="0" w:right="0"/>
              <w:jc w:val="center"/>
              <w:rPr>
                <w:rFonts w:ascii="宋体" w:hAnsi="宋体"/>
                <w:bCs/>
                <w:szCs w:val="21"/>
              </w:rPr>
            </w:pPr>
          </w:p>
        </w:tc>
        <w:tc>
          <w:tcPr>
            <w:tcW w:w="1143" w:type="dxa"/>
            <w:vAlign w:val="center"/>
          </w:tcPr>
          <w:p>
            <w:pPr>
              <w:pStyle w:val="136"/>
              <w:keepNext w:val="0"/>
              <w:keepLines w:val="0"/>
              <w:widowControl w:val="0"/>
              <w:suppressLineNumbers w:val="0"/>
              <w:spacing w:before="0" w:beforeAutospacing="0" w:after="0" w:afterAutospacing="0"/>
              <w:ind w:left="0" w:right="0"/>
              <w:rPr>
                <w:bCs/>
                <w:kern w:val="2"/>
                <w:sz w:val="21"/>
                <w:szCs w:val="21"/>
              </w:rPr>
            </w:pPr>
          </w:p>
        </w:tc>
        <w:tc>
          <w:tcPr>
            <w:tcW w:w="1865" w:type="dxa"/>
            <w:vAlign w:val="center"/>
          </w:tcPr>
          <w:p>
            <w:pPr>
              <w:pStyle w:val="136"/>
              <w:keepNext w:val="0"/>
              <w:keepLines w:val="0"/>
              <w:suppressLineNumbers w:val="0"/>
              <w:spacing w:before="0" w:beforeAutospacing="0" w:after="0" w:afterAutospacing="0"/>
              <w:ind w:left="0" w:right="0"/>
              <w:rPr>
                <w:bCs/>
                <w:sz w:val="21"/>
                <w:szCs w:val="21"/>
              </w:rPr>
            </w:pPr>
          </w:p>
        </w:tc>
        <w:tc>
          <w:tcPr>
            <w:tcW w:w="1134" w:type="dxa"/>
            <w:vAlign w:val="center"/>
          </w:tcPr>
          <w:p>
            <w:pPr>
              <w:pStyle w:val="136"/>
              <w:keepNext w:val="0"/>
              <w:keepLines w:val="0"/>
              <w:suppressLineNumbers w:val="0"/>
              <w:ind w:left="0" w:right="0"/>
              <w:rPr>
                <w:bCs/>
                <w:sz w:val="21"/>
                <w:szCs w:val="21"/>
              </w:rPr>
            </w:pPr>
          </w:p>
        </w:tc>
        <w:tc>
          <w:tcPr>
            <w:tcW w:w="1134" w:type="dxa"/>
            <w:vAlign w:val="center"/>
          </w:tcPr>
          <w:p>
            <w:pPr>
              <w:keepNext w:val="0"/>
              <w:keepLines w:val="0"/>
              <w:suppressLineNumbers w:val="0"/>
              <w:spacing w:before="0" w:beforeAutospacing="0" w:after="0" w:afterAutospacing="0"/>
              <w:ind w:left="0" w:right="0"/>
              <w:jc w:val="center"/>
              <w:rPr>
                <w:rFonts w:ascii="宋体" w:hAnsi="宋体"/>
                <w:bCs/>
                <w:szCs w:val="21"/>
              </w:rPr>
            </w:pPr>
          </w:p>
        </w:tc>
        <w:tc>
          <w:tcPr>
            <w:tcW w:w="1276" w:type="dxa"/>
            <w:vAlign w:val="center"/>
          </w:tcPr>
          <w:p>
            <w:pPr>
              <w:keepNext w:val="0"/>
              <w:keepLines w:val="0"/>
              <w:suppressLineNumbers w:val="0"/>
              <w:spacing w:before="0" w:beforeAutospacing="0" w:after="0" w:afterAutospacing="0"/>
              <w:ind w:left="0" w:right="0"/>
              <w:jc w:val="center"/>
              <w:rPr>
                <w:rFonts w:ascii="宋体" w:hAnsi="宋体"/>
                <w:bCs/>
                <w:szCs w:val="21"/>
              </w:rPr>
            </w:pPr>
          </w:p>
        </w:tc>
        <w:tc>
          <w:tcPr>
            <w:tcW w:w="963" w:type="dxa"/>
            <w:vAlign w:val="center"/>
          </w:tcPr>
          <w:p>
            <w:pPr>
              <w:keepNext w:val="0"/>
              <w:keepLines w:val="0"/>
              <w:suppressLineNumbers w:val="0"/>
              <w:spacing w:before="0" w:beforeAutospacing="0" w:after="0" w:afterAutospacing="0"/>
              <w:ind w:left="0" w:right="0"/>
              <w:jc w:val="center"/>
              <w:rPr>
                <w:rFonts w:ascii="宋体" w:hAnsi="宋体"/>
                <w:bCs/>
                <w:szCs w:val="21"/>
              </w:rPr>
            </w:pPr>
          </w:p>
        </w:tc>
        <w:tc>
          <w:tcPr>
            <w:tcW w:w="1276" w:type="dxa"/>
            <w:tcBorders>
              <w:right w:val="double" w:color="auto" w:sz="4" w:space="0"/>
            </w:tcBorders>
            <w:vAlign w:val="center"/>
          </w:tcPr>
          <w:p>
            <w:pPr>
              <w:keepNext w:val="0"/>
              <w:keepLines w:val="0"/>
              <w:suppressLineNumbers w:val="0"/>
              <w:spacing w:before="0" w:beforeAutospacing="0" w:after="0" w:afterAutospacing="0"/>
              <w:ind w:left="0" w:right="0"/>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2" w:type="dxa"/>
            <w:tcBorders>
              <w:left w:val="double" w:color="auto" w:sz="4" w:space="0"/>
            </w:tcBorders>
            <w:vAlign w:val="center"/>
          </w:tcPr>
          <w:p>
            <w:pPr>
              <w:keepNext w:val="0"/>
              <w:keepLines w:val="0"/>
              <w:suppressLineNumbers w:val="0"/>
              <w:spacing w:before="0" w:beforeAutospacing="0" w:after="0" w:afterAutospacing="0"/>
              <w:ind w:left="0" w:right="0"/>
              <w:jc w:val="center"/>
              <w:rPr>
                <w:rFonts w:ascii="宋体" w:hAnsi="宋体"/>
                <w:bCs/>
                <w:szCs w:val="21"/>
              </w:rPr>
            </w:pPr>
          </w:p>
        </w:tc>
        <w:tc>
          <w:tcPr>
            <w:tcW w:w="1143" w:type="dxa"/>
            <w:vAlign w:val="center"/>
          </w:tcPr>
          <w:p>
            <w:pPr>
              <w:pStyle w:val="136"/>
              <w:keepNext w:val="0"/>
              <w:keepLines w:val="0"/>
              <w:widowControl w:val="0"/>
              <w:suppressLineNumbers w:val="0"/>
              <w:spacing w:before="0" w:beforeAutospacing="0" w:after="0" w:afterAutospacing="0"/>
              <w:ind w:left="0" w:right="0"/>
              <w:rPr>
                <w:bCs/>
                <w:kern w:val="2"/>
                <w:sz w:val="21"/>
                <w:szCs w:val="21"/>
              </w:rPr>
            </w:pPr>
          </w:p>
        </w:tc>
        <w:tc>
          <w:tcPr>
            <w:tcW w:w="1865" w:type="dxa"/>
            <w:vAlign w:val="center"/>
          </w:tcPr>
          <w:p>
            <w:pPr>
              <w:pStyle w:val="136"/>
              <w:keepNext w:val="0"/>
              <w:keepLines w:val="0"/>
              <w:suppressLineNumbers w:val="0"/>
              <w:spacing w:before="0" w:beforeAutospacing="0" w:after="0" w:afterAutospacing="0"/>
              <w:ind w:left="0" w:right="0"/>
              <w:rPr>
                <w:bCs/>
                <w:sz w:val="21"/>
                <w:szCs w:val="21"/>
              </w:rPr>
            </w:pPr>
          </w:p>
        </w:tc>
        <w:tc>
          <w:tcPr>
            <w:tcW w:w="1134" w:type="dxa"/>
            <w:vAlign w:val="center"/>
          </w:tcPr>
          <w:p>
            <w:pPr>
              <w:pStyle w:val="136"/>
              <w:keepNext w:val="0"/>
              <w:keepLines w:val="0"/>
              <w:suppressLineNumbers w:val="0"/>
              <w:ind w:left="0" w:right="0"/>
              <w:rPr>
                <w:bCs/>
                <w:sz w:val="21"/>
                <w:szCs w:val="21"/>
              </w:rPr>
            </w:pPr>
          </w:p>
        </w:tc>
        <w:tc>
          <w:tcPr>
            <w:tcW w:w="1134" w:type="dxa"/>
            <w:vAlign w:val="center"/>
          </w:tcPr>
          <w:p>
            <w:pPr>
              <w:keepNext w:val="0"/>
              <w:keepLines w:val="0"/>
              <w:suppressLineNumbers w:val="0"/>
              <w:spacing w:before="0" w:beforeAutospacing="0" w:after="0" w:afterAutospacing="0"/>
              <w:ind w:left="0" w:right="0"/>
              <w:jc w:val="center"/>
              <w:rPr>
                <w:rFonts w:ascii="宋体" w:hAnsi="宋体"/>
                <w:bCs/>
                <w:szCs w:val="21"/>
              </w:rPr>
            </w:pPr>
          </w:p>
        </w:tc>
        <w:tc>
          <w:tcPr>
            <w:tcW w:w="1276" w:type="dxa"/>
            <w:vAlign w:val="center"/>
          </w:tcPr>
          <w:p>
            <w:pPr>
              <w:keepNext w:val="0"/>
              <w:keepLines w:val="0"/>
              <w:suppressLineNumbers w:val="0"/>
              <w:spacing w:before="0" w:beforeAutospacing="0" w:after="0" w:afterAutospacing="0"/>
              <w:ind w:left="0" w:right="0"/>
              <w:jc w:val="center"/>
              <w:rPr>
                <w:rFonts w:ascii="宋体" w:hAnsi="宋体"/>
                <w:bCs/>
                <w:szCs w:val="21"/>
              </w:rPr>
            </w:pPr>
          </w:p>
        </w:tc>
        <w:tc>
          <w:tcPr>
            <w:tcW w:w="963" w:type="dxa"/>
            <w:vAlign w:val="center"/>
          </w:tcPr>
          <w:p>
            <w:pPr>
              <w:keepNext w:val="0"/>
              <w:keepLines w:val="0"/>
              <w:suppressLineNumbers w:val="0"/>
              <w:spacing w:before="0" w:beforeAutospacing="0" w:after="0" w:afterAutospacing="0"/>
              <w:ind w:left="0" w:right="0"/>
              <w:jc w:val="center"/>
              <w:rPr>
                <w:rFonts w:ascii="宋体" w:hAnsi="宋体"/>
                <w:bCs/>
                <w:szCs w:val="21"/>
              </w:rPr>
            </w:pPr>
          </w:p>
        </w:tc>
        <w:tc>
          <w:tcPr>
            <w:tcW w:w="1276" w:type="dxa"/>
            <w:tcBorders>
              <w:right w:val="double" w:color="auto" w:sz="4" w:space="0"/>
            </w:tcBorders>
            <w:vAlign w:val="center"/>
          </w:tcPr>
          <w:p>
            <w:pPr>
              <w:keepNext w:val="0"/>
              <w:keepLines w:val="0"/>
              <w:suppressLineNumbers w:val="0"/>
              <w:spacing w:before="0" w:beforeAutospacing="0" w:after="0" w:afterAutospacing="0"/>
              <w:ind w:left="0" w:right="0"/>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2" w:type="dxa"/>
            <w:tcBorders>
              <w:left w:val="double" w:color="auto" w:sz="4" w:space="0"/>
            </w:tcBorders>
            <w:vAlign w:val="center"/>
          </w:tcPr>
          <w:p>
            <w:pPr>
              <w:keepNext w:val="0"/>
              <w:keepLines w:val="0"/>
              <w:suppressLineNumbers w:val="0"/>
              <w:spacing w:before="0" w:beforeAutospacing="0" w:after="0" w:afterAutospacing="0"/>
              <w:ind w:left="0" w:right="0"/>
              <w:jc w:val="center"/>
              <w:rPr>
                <w:rFonts w:ascii="宋体" w:hAnsi="宋体"/>
                <w:bCs/>
                <w:szCs w:val="21"/>
              </w:rPr>
            </w:pPr>
          </w:p>
        </w:tc>
        <w:tc>
          <w:tcPr>
            <w:tcW w:w="1143" w:type="dxa"/>
            <w:vAlign w:val="center"/>
          </w:tcPr>
          <w:p>
            <w:pPr>
              <w:pStyle w:val="136"/>
              <w:keepNext w:val="0"/>
              <w:keepLines w:val="0"/>
              <w:widowControl w:val="0"/>
              <w:suppressLineNumbers w:val="0"/>
              <w:spacing w:before="0" w:beforeAutospacing="0" w:after="0" w:afterAutospacing="0"/>
              <w:ind w:left="0" w:right="0"/>
              <w:rPr>
                <w:bCs/>
                <w:kern w:val="2"/>
                <w:sz w:val="21"/>
                <w:szCs w:val="21"/>
              </w:rPr>
            </w:pPr>
          </w:p>
        </w:tc>
        <w:tc>
          <w:tcPr>
            <w:tcW w:w="1865" w:type="dxa"/>
            <w:vAlign w:val="center"/>
          </w:tcPr>
          <w:p>
            <w:pPr>
              <w:pStyle w:val="136"/>
              <w:keepNext w:val="0"/>
              <w:keepLines w:val="0"/>
              <w:suppressLineNumbers w:val="0"/>
              <w:spacing w:before="0" w:beforeAutospacing="0" w:after="0" w:afterAutospacing="0"/>
              <w:ind w:left="0" w:right="0"/>
              <w:rPr>
                <w:bCs/>
                <w:sz w:val="21"/>
                <w:szCs w:val="21"/>
              </w:rPr>
            </w:pPr>
          </w:p>
        </w:tc>
        <w:tc>
          <w:tcPr>
            <w:tcW w:w="1134" w:type="dxa"/>
            <w:vAlign w:val="center"/>
          </w:tcPr>
          <w:p>
            <w:pPr>
              <w:pStyle w:val="136"/>
              <w:keepNext w:val="0"/>
              <w:keepLines w:val="0"/>
              <w:suppressLineNumbers w:val="0"/>
              <w:ind w:left="0" w:right="0"/>
              <w:rPr>
                <w:bCs/>
                <w:sz w:val="21"/>
                <w:szCs w:val="21"/>
              </w:rPr>
            </w:pPr>
          </w:p>
        </w:tc>
        <w:tc>
          <w:tcPr>
            <w:tcW w:w="1134" w:type="dxa"/>
            <w:vAlign w:val="center"/>
          </w:tcPr>
          <w:p>
            <w:pPr>
              <w:keepNext w:val="0"/>
              <w:keepLines w:val="0"/>
              <w:suppressLineNumbers w:val="0"/>
              <w:spacing w:before="0" w:beforeAutospacing="0" w:after="0" w:afterAutospacing="0"/>
              <w:ind w:left="0" w:right="0"/>
              <w:jc w:val="center"/>
              <w:rPr>
                <w:rFonts w:ascii="宋体" w:hAnsi="宋体"/>
                <w:bCs/>
                <w:szCs w:val="21"/>
              </w:rPr>
            </w:pPr>
          </w:p>
        </w:tc>
        <w:tc>
          <w:tcPr>
            <w:tcW w:w="1276" w:type="dxa"/>
            <w:vAlign w:val="center"/>
          </w:tcPr>
          <w:p>
            <w:pPr>
              <w:keepNext w:val="0"/>
              <w:keepLines w:val="0"/>
              <w:suppressLineNumbers w:val="0"/>
              <w:spacing w:before="0" w:beforeAutospacing="0" w:after="0" w:afterAutospacing="0"/>
              <w:ind w:left="0" w:right="0"/>
              <w:jc w:val="center"/>
              <w:rPr>
                <w:rFonts w:ascii="宋体" w:hAnsi="宋体"/>
                <w:bCs/>
                <w:szCs w:val="21"/>
              </w:rPr>
            </w:pPr>
          </w:p>
        </w:tc>
        <w:tc>
          <w:tcPr>
            <w:tcW w:w="963" w:type="dxa"/>
            <w:vAlign w:val="center"/>
          </w:tcPr>
          <w:p>
            <w:pPr>
              <w:keepNext w:val="0"/>
              <w:keepLines w:val="0"/>
              <w:suppressLineNumbers w:val="0"/>
              <w:spacing w:before="0" w:beforeAutospacing="0" w:after="0" w:afterAutospacing="0"/>
              <w:ind w:left="0" w:right="0"/>
              <w:jc w:val="center"/>
              <w:rPr>
                <w:rFonts w:ascii="宋体" w:hAnsi="宋体"/>
                <w:bCs/>
                <w:szCs w:val="21"/>
              </w:rPr>
            </w:pPr>
          </w:p>
        </w:tc>
        <w:tc>
          <w:tcPr>
            <w:tcW w:w="1276" w:type="dxa"/>
            <w:tcBorders>
              <w:right w:val="double" w:color="auto" w:sz="4" w:space="0"/>
            </w:tcBorders>
            <w:vAlign w:val="center"/>
          </w:tcPr>
          <w:p>
            <w:pPr>
              <w:keepNext w:val="0"/>
              <w:keepLines w:val="0"/>
              <w:suppressLineNumbers w:val="0"/>
              <w:spacing w:before="0" w:beforeAutospacing="0" w:after="0" w:afterAutospacing="0"/>
              <w:ind w:left="0" w:right="0"/>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2" w:type="dxa"/>
            <w:tcBorders>
              <w:left w:val="double" w:color="auto" w:sz="4" w:space="0"/>
            </w:tcBorders>
            <w:vAlign w:val="center"/>
          </w:tcPr>
          <w:p>
            <w:pPr>
              <w:keepNext w:val="0"/>
              <w:keepLines w:val="0"/>
              <w:suppressLineNumbers w:val="0"/>
              <w:spacing w:before="0" w:beforeAutospacing="0" w:after="0" w:afterAutospacing="0"/>
              <w:ind w:left="0" w:right="0"/>
              <w:jc w:val="center"/>
              <w:rPr>
                <w:rFonts w:ascii="宋体" w:hAnsi="宋体"/>
                <w:bCs/>
                <w:szCs w:val="21"/>
              </w:rPr>
            </w:pPr>
          </w:p>
        </w:tc>
        <w:tc>
          <w:tcPr>
            <w:tcW w:w="1143" w:type="dxa"/>
            <w:vAlign w:val="center"/>
          </w:tcPr>
          <w:p>
            <w:pPr>
              <w:pStyle w:val="136"/>
              <w:keepNext w:val="0"/>
              <w:keepLines w:val="0"/>
              <w:widowControl w:val="0"/>
              <w:suppressLineNumbers w:val="0"/>
              <w:spacing w:before="0" w:beforeAutospacing="0" w:after="0" w:afterAutospacing="0"/>
              <w:ind w:left="0" w:right="0"/>
              <w:rPr>
                <w:bCs/>
                <w:kern w:val="2"/>
                <w:sz w:val="21"/>
                <w:szCs w:val="21"/>
              </w:rPr>
            </w:pPr>
          </w:p>
        </w:tc>
        <w:tc>
          <w:tcPr>
            <w:tcW w:w="1865" w:type="dxa"/>
            <w:vAlign w:val="center"/>
          </w:tcPr>
          <w:p>
            <w:pPr>
              <w:pStyle w:val="136"/>
              <w:keepNext w:val="0"/>
              <w:keepLines w:val="0"/>
              <w:suppressLineNumbers w:val="0"/>
              <w:spacing w:before="0" w:beforeAutospacing="0" w:after="0" w:afterAutospacing="0"/>
              <w:ind w:left="0" w:right="0"/>
              <w:rPr>
                <w:bCs/>
                <w:sz w:val="21"/>
                <w:szCs w:val="21"/>
              </w:rPr>
            </w:pPr>
          </w:p>
        </w:tc>
        <w:tc>
          <w:tcPr>
            <w:tcW w:w="1134" w:type="dxa"/>
            <w:vAlign w:val="center"/>
          </w:tcPr>
          <w:p>
            <w:pPr>
              <w:pStyle w:val="136"/>
              <w:keepNext w:val="0"/>
              <w:keepLines w:val="0"/>
              <w:suppressLineNumbers w:val="0"/>
              <w:ind w:left="0" w:right="0"/>
              <w:rPr>
                <w:bCs/>
                <w:sz w:val="21"/>
                <w:szCs w:val="21"/>
              </w:rPr>
            </w:pPr>
          </w:p>
        </w:tc>
        <w:tc>
          <w:tcPr>
            <w:tcW w:w="1134" w:type="dxa"/>
            <w:vAlign w:val="center"/>
          </w:tcPr>
          <w:p>
            <w:pPr>
              <w:keepNext w:val="0"/>
              <w:keepLines w:val="0"/>
              <w:suppressLineNumbers w:val="0"/>
              <w:spacing w:before="0" w:beforeAutospacing="0" w:after="0" w:afterAutospacing="0"/>
              <w:ind w:left="0" w:right="0"/>
              <w:jc w:val="center"/>
              <w:rPr>
                <w:rFonts w:ascii="宋体" w:hAnsi="宋体"/>
                <w:bCs/>
                <w:szCs w:val="21"/>
              </w:rPr>
            </w:pPr>
          </w:p>
        </w:tc>
        <w:tc>
          <w:tcPr>
            <w:tcW w:w="1276" w:type="dxa"/>
            <w:vAlign w:val="center"/>
          </w:tcPr>
          <w:p>
            <w:pPr>
              <w:keepNext w:val="0"/>
              <w:keepLines w:val="0"/>
              <w:suppressLineNumbers w:val="0"/>
              <w:spacing w:before="0" w:beforeAutospacing="0" w:after="0" w:afterAutospacing="0"/>
              <w:ind w:left="0" w:right="0"/>
              <w:jc w:val="center"/>
              <w:rPr>
                <w:rFonts w:ascii="宋体" w:hAnsi="宋体"/>
                <w:bCs/>
                <w:szCs w:val="21"/>
              </w:rPr>
            </w:pPr>
          </w:p>
        </w:tc>
        <w:tc>
          <w:tcPr>
            <w:tcW w:w="963" w:type="dxa"/>
            <w:vAlign w:val="center"/>
          </w:tcPr>
          <w:p>
            <w:pPr>
              <w:keepNext w:val="0"/>
              <w:keepLines w:val="0"/>
              <w:suppressLineNumbers w:val="0"/>
              <w:spacing w:before="0" w:beforeAutospacing="0" w:after="0" w:afterAutospacing="0"/>
              <w:ind w:left="0" w:right="0"/>
              <w:jc w:val="center"/>
              <w:rPr>
                <w:rFonts w:ascii="宋体" w:hAnsi="宋体"/>
                <w:bCs/>
                <w:szCs w:val="21"/>
              </w:rPr>
            </w:pPr>
          </w:p>
        </w:tc>
        <w:tc>
          <w:tcPr>
            <w:tcW w:w="1276" w:type="dxa"/>
            <w:tcBorders>
              <w:right w:val="double" w:color="auto" w:sz="4" w:space="0"/>
            </w:tcBorders>
            <w:vAlign w:val="center"/>
          </w:tcPr>
          <w:p>
            <w:pPr>
              <w:keepNext w:val="0"/>
              <w:keepLines w:val="0"/>
              <w:suppressLineNumbers w:val="0"/>
              <w:spacing w:before="0" w:beforeAutospacing="0" w:after="0" w:afterAutospacing="0"/>
              <w:ind w:left="0" w:right="0"/>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764" w:type="dxa"/>
            <w:gridSpan w:val="4"/>
            <w:tcBorders>
              <w:left w:val="double" w:color="auto" w:sz="4" w:space="0"/>
              <w:bottom w:val="double" w:color="auto" w:sz="4" w:space="0"/>
            </w:tcBorders>
            <w:vAlign w:val="center"/>
          </w:tcPr>
          <w:p>
            <w:pPr>
              <w:keepNext w:val="0"/>
              <w:keepLines w:val="0"/>
              <w:suppressLineNumbers w:val="0"/>
              <w:spacing w:before="0" w:beforeAutospacing="0" w:after="0" w:afterAutospacing="0" w:line="360" w:lineRule="auto"/>
              <w:ind w:left="0" w:right="0"/>
              <w:jc w:val="center"/>
              <w:rPr>
                <w:rFonts w:ascii="宋体" w:hAnsi="宋体"/>
                <w:b/>
                <w:bCs/>
                <w:iCs/>
                <w:szCs w:val="21"/>
              </w:rPr>
            </w:pPr>
            <w:r>
              <w:rPr>
                <w:rFonts w:hint="eastAsia" w:ascii="宋体" w:hAnsi="宋体"/>
                <w:b/>
                <w:szCs w:val="21"/>
              </w:rPr>
              <w:t>合计（元）</w:t>
            </w:r>
          </w:p>
        </w:tc>
        <w:tc>
          <w:tcPr>
            <w:tcW w:w="4649" w:type="dxa"/>
            <w:gridSpan w:val="4"/>
            <w:tcBorders>
              <w:bottom w:val="double" w:color="auto" w:sz="4" w:space="0"/>
              <w:right w:val="double" w:color="auto" w:sz="4" w:space="0"/>
            </w:tcBorders>
            <w:vAlign w:val="center"/>
          </w:tcPr>
          <w:p>
            <w:pPr>
              <w:keepNext w:val="0"/>
              <w:keepLines w:val="0"/>
              <w:suppressLineNumbers w:val="0"/>
              <w:spacing w:before="0" w:beforeAutospacing="0" w:after="0" w:afterAutospacing="0"/>
              <w:ind w:left="0" w:right="0"/>
              <w:jc w:val="center"/>
              <w:rPr>
                <w:rFonts w:ascii="宋体" w:hAnsi="宋体"/>
                <w:b/>
                <w:bCs/>
                <w:szCs w:val="21"/>
              </w:rPr>
            </w:pPr>
          </w:p>
        </w:tc>
      </w:tr>
    </w:tbl>
    <w:p>
      <w:pPr>
        <w:rPr>
          <w:rFonts w:ascii="宋体" w:hAnsi="宋体"/>
          <w:szCs w:val="21"/>
        </w:rPr>
      </w:pPr>
      <w:r>
        <w:rPr>
          <w:rFonts w:hint="eastAsia" w:ascii="宋体" w:hAnsi="宋体"/>
          <w:szCs w:val="21"/>
        </w:rPr>
        <w:t>注：</w:t>
      </w:r>
    </w:p>
    <w:p>
      <w:pPr>
        <w:ind w:left="359" w:leftChars="171" w:firstLine="105" w:firstLineChars="50"/>
        <w:rPr>
          <w:rFonts w:ascii="宋体" w:hAnsi="宋体"/>
          <w:snapToGrid w:val="0"/>
          <w:kern w:val="0"/>
          <w:szCs w:val="21"/>
        </w:rPr>
      </w:pPr>
      <w:r>
        <w:rPr>
          <w:rFonts w:hint="eastAsia" w:ascii="宋体" w:hAnsi="宋体"/>
          <w:snapToGrid w:val="0"/>
          <w:kern w:val="0"/>
          <w:szCs w:val="21"/>
        </w:rPr>
        <w:t>1.此表为《开标一览表》的明细表。</w:t>
      </w:r>
    </w:p>
    <w:p>
      <w:pPr>
        <w:ind w:firstLine="420" w:firstLineChars="200"/>
        <w:rPr>
          <w:rFonts w:ascii="宋体" w:hAnsi="宋体"/>
          <w:snapToGrid w:val="0"/>
          <w:kern w:val="0"/>
          <w:szCs w:val="21"/>
        </w:rPr>
      </w:pPr>
      <w:r>
        <w:rPr>
          <w:rFonts w:hint="eastAsia" w:ascii="宋体" w:hAnsi="宋体"/>
          <w:szCs w:val="21"/>
        </w:rPr>
        <w:t>2.</w:t>
      </w:r>
      <w:r>
        <w:rPr>
          <w:rFonts w:hint="eastAsia" w:ascii="宋体" w:hAnsi="宋体"/>
          <w:snapToGrid w:val="0"/>
          <w:kern w:val="0"/>
          <w:szCs w:val="21"/>
        </w:rPr>
        <w:t>此表中的合计金额应等于“开标一览表”中的</w:t>
      </w:r>
      <w:r>
        <w:rPr>
          <w:rFonts w:hint="eastAsia" w:ascii="宋体" w:hAnsi="宋体"/>
          <w:szCs w:val="21"/>
        </w:rPr>
        <w:t>投入资金总额</w:t>
      </w:r>
      <w:r>
        <w:rPr>
          <w:rFonts w:hint="eastAsia" w:ascii="宋体" w:hAnsi="宋体"/>
          <w:snapToGrid w:val="0"/>
          <w:kern w:val="0"/>
          <w:szCs w:val="21"/>
        </w:rPr>
        <w:t>。</w:t>
      </w:r>
    </w:p>
    <w:p>
      <w:pPr>
        <w:jc w:val="left"/>
        <w:rPr>
          <w:rFonts w:ascii="宋体" w:hAnsi="宋体" w:cs="宋体"/>
          <w:szCs w:val="21"/>
        </w:rPr>
      </w:pPr>
    </w:p>
    <w:p>
      <w:pPr>
        <w:jc w:val="left"/>
        <w:rPr>
          <w:rFonts w:ascii="宋体" w:hAnsi="宋体"/>
          <w:kern w:val="0"/>
          <w:szCs w:val="21"/>
        </w:rPr>
      </w:pPr>
    </w:p>
    <w:p>
      <w:pPr>
        <w:ind w:firstLine="420" w:firstLineChars="200"/>
        <w:rPr>
          <w:rFonts w:ascii="宋体" w:hAnsi="宋体"/>
          <w:snapToGrid w:val="0"/>
          <w:kern w:val="0"/>
          <w:szCs w:val="21"/>
        </w:rPr>
      </w:pPr>
    </w:p>
    <w:p>
      <w:pPr>
        <w:ind w:firstLine="3885" w:firstLineChars="1850"/>
        <w:rPr>
          <w:rFonts w:ascii="宋体" w:hAnsi="宋体"/>
          <w:szCs w:val="21"/>
        </w:rPr>
      </w:pPr>
      <w:r>
        <w:rPr>
          <w:rFonts w:hint="eastAsia" w:ascii="宋体" w:hAnsi="宋体"/>
          <w:szCs w:val="21"/>
        </w:rPr>
        <w:t>投标人全称（盖公章）：</w:t>
      </w:r>
    </w:p>
    <w:p>
      <w:pPr>
        <w:ind w:left="3885" w:leftChars="200" w:hanging="3465" w:hangingChars="1650"/>
        <w:rPr>
          <w:rFonts w:ascii="宋体" w:hAnsi="宋体"/>
        </w:rPr>
      </w:pPr>
      <w:r>
        <w:rPr>
          <w:rFonts w:hint="eastAsia" w:ascii="宋体" w:hAnsi="宋体"/>
        </w:rPr>
        <w:t xml:space="preserve">                                 法定代表人或授权代表（签字或盖章）：</w:t>
      </w:r>
    </w:p>
    <w:p>
      <w:pPr>
        <w:rPr>
          <w:rFonts w:ascii="宋体" w:hAnsi="宋体"/>
          <w:szCs w:val="21"/>
        </w:rPr>
      </w:pPr>
      <w:r>
        <w:rPr>
          <w:rFonts w:hint="eastAsia" w:ascii="宋体" w:hAnsi="宋体"/>
        </w:rPr>
        <w:t xml:space="preserve">                                     日       期：</w:t>
      </w:r>
    </w:p>
    <w:p>
      <w:pPr>
        <w:pageBreakBefore/>
        <w:rPr>
          <w:rFonts w:ascii="宋体" w:hAnsi="宋体"/>
          <w:b/>
        </w:rPr>
      </w:pPr>
      <w:r>
        <w:rPr>
          <w:rFonts w:hint="eastAsia" w:ascii="宋体" w:hAnsi="宋体"/>
          <w:b/>
        </w:rPr>
        <w:t>三、资格及符合性文件</w:t>
      </w:r>
    </w:p>
    <w:p>
      <w:pPr>
        <w:rPr>
          <w:b/>
        </w:rPr>
      </w:pPr>
      <w:r>
        <w:rPr>
          <w:rFonts w:hint="eastAsia"/>
          <w:b/>
        </w:rPr>
        <w:t>1.投标函</w:t>
      </w:r>
      <w:bookmarkEnd w:id="36"/>
      <w:bookmarkEnd w:id="37"/>
      <w:bookmarkEnd w:id="38"/>
      <w:bookmarkEnd w:id="39"/>
      <w:bookmarkEnd w:id="40"/>
    </w:p>
    <w:p>
      <w:pPr>
        <w:spacing w:line="312" w:lineRule="auto"/>
        <w:jc w:val="center"/>
        <w:rPr>
          <w:rFonts w:ascii="宋体" w:hAnsi="宋体"/>
          <w:b/>
          <w:sz w:val="28"/>
          <w:szCs w:val="28"/>
        </w:rPr>
      </w:pPr>
      <w:r>
        <w:rPr>
          <w:rFonts w:hint="eastAsia" w:ascii="宋体" w:hAnsi="宋体"/>
          <w:b/>
          <w:sz w:val="28"/>
          <w:szCs w:val="28"/>
        </w:rPr>
        <w:t>投标函</w:t>
      </w:r>
    </w:p>
    <w:p>
      <w:pPr>
        <w:spacing w:line="312" w:lineRule="auto"/>
        <w:rPr>
          <w:rFonts w:ascii="宋体" w:hAnsi="宋体"/>
        </w:rPr>
      </w:pPr>
      <w:r>
        <w:rPr>
          <w:rFonts w:hint="eastAsia" w:ascii="宋体" w:hAnsi="宋体"/>
        </w:rPr>
        <w:t>致：中曜招标股份有限公司</w:t>
      </w:r>
    </w:p>
    <w:p>
      <w:pPr>
        <w:spacing w:line="312" w:lineRule="auto"/>
        <w:ind w:firstLine="420"/>
        <w:rPr>
          <w:rFonts w:ascii="宋体" w:hAnsi="宋体"/>
          <w:szCs w:val="21"/>
          <w:lang w:val="zh-CN"/>
        </w:rPr>
      </w:pPr>
      <w:r>
        <w:rPr>
          <w:rFonts w:hint="eastAsia" w:ascii="宋体" w:hAnsi="宋体"/>
        </w:rPr>
        <w:t>根据贵公司</w:t>
      </w:r>
      <w:r>
        <w:rPr>
          <w:rFonts w:hint="eastAsia" w:ascii="宋体" w:hAnsi="宋体"/>
          <w:szCs w:val="21"/>
          <w:lang w:val="zh-CN"/>
        </w:rPr>
        <w:t xml:space="preserve"> “</w:t>
      </w:r>
      <w:r>
        <w:rPr>
          <w:rFonts w:hint="eastAsia" w:ascii="宋体" w:hAnsi="宋体"/>
          <w:szCs w:val="21"/>
          <w:u w:val="single"/>
          <w:lang w:val="zh-CN"/>
        </w:rPr>
        <w:t xml:space="preserve">　 </w:t>
      </w:r>
      <w:r>
        <w:rPr>
          <w:rFonts w:hint="eastAsia" w:ascii="宋体" w:hAnsi="宋体"/>
          <w:szCs w:val="21"/>
          <w:u w:val="single"/>
          <w:lang w:val="en-US" w:eastAsia="zh-CN"/>
        </w:rPr>
        <w:t xml:space="preserve">    </w:t>
      </w:r>
      <w:r>
        <w:rPr>
          <w:rFonts w:hint="eastAsia" w:ascii="宋体" w:hAnsi="宋体"/>
          <w:szCs w:val="21"/>
          <w:u w:val="single"/>
          <w:lang w:val="zh-CN"/>
        </w:rPr>
        <w:t xml:space="preserve">    </w:t>
      </w:r>
      <w:r>
        <w:rPr>
          <w:rFonts w:hint="eastAsia" w:ascii="宋体" w:hAnsi="宋体"/>
          <w:color w:val="000000"/>
          <w:szCs w:val="21"/>
          <w:u w:val="single"/>
          <w:lang w:val="zh-CN"/>
        </w:rPr>
        <w:t>项目</w:t>
      </w:r>
      <w:r>
        <w:rPr>
          <w:rFonts w:ascii="宋体" w:hAnsi="宋体"/>
          <w:szCs w:val="21"/>
          <w:lang w:val="zh-CN"/>
        </w:rPr>
        <w:t>”</w:t>
      </w:r>
      <w:r>
        <w:rPr>
          <w:rFonts w:hint="eastAsia" w:ascii="宋体" w:hAnsi="宋体"/>
          <w:szCs w:val="21"/>
          <w:lang w:val="zh-CN"/>
        </w:rPr>
        <w:t>的投标邀请，我方</w:t>
      </w:r>
      <w:r>
        <w:rPr>
          <w:rFonts w:hint="eastAsia" w:ascii="宋体" w:hAnsi="宋体"/>
          <w:szCs w:val="21"/>
          <w:u w:val="single"/>
          <w:lang w:val="zh-CN"/>
        </w:rPr>
        <w:t xml:space="preserve">　 </w:t>
      </w:r>
      <w:r>
        <w:rPr>
          <w:rFonts w:hint="eastAsia" w:ascii="宋体" w:hAnsi="宋体"/>
          <w:szCs w:val="21"/>
          <w:u w:val="single"/>
          <w:lang w:val="en-US" w:eastAsia="zh-CN"/>
        </w:rPr>
        <w:t xml:space="preserve">    </w:t>
      </w:r>
      <w:r>
        <w:rPr>
          <w:rFonts w:hint="eastAsia" w:ascii="宋体" w:hAnsi="宋体"/>
          <w:szCs w:val="21"/>
          <w:u w:val="single"/>
          <w:lang w:val="zh-CN"/>
        </w:rPr>
        <w:t xml:space="preserve">    </w:t>
      </w:r>
      <w:r>
        <w:rPr>
          <w:rFonts w:hint="eastAsia" w:ascii="宋体" w:hAnsi="宋体"/>
          <w:szCs w:val="21"/>
          <w:lang w:val="zh-CN"/>
        </w:rPr>
        <w:t>（投标人名称）作为投标人正式授权</w:t>
      </w:r>
      <w:r>
        <w:rPr>
          <w:rFonts w:hint="eastAsia" w:ascii="宋体" w:hAnsi="宋体"/>
          <w:szCs w:val="21"/>
          <w:u w:val="single"/>
          <w:lang w:val="zh-CN"/>
        </w:rPr>
        <w:t>　     　     （</w:t>
      </w:r>
      <w:r>
        <w:rPr>
          <w:rFonts w:hint="eastAsia" w:ascii="宋体" w:hAnsi="宋体"/>
          <w:szCs w:val="21"/>
          <w:lang w:val="zh-CN"/>
        </w:rPr>
        <w:t>授权代表全名，职务）代表我方进行有关本次投标的一切事宜。</w:t>
      </w:r>
    </w:p>
    <w:p>
      <w:pPr>
        <w:spacing w:line="312" w:lineRule="auto"/>
        <w:ind w:firstLine="420"/>
        <w:rPr>
          <w:rFonts w:ascii="宋体" w:hAnsi="宋体"/>
          <w:szCs w:val="21"/>
          <w:lang w:val="zh-CN"/>
        </w:rPr>
      </w:pPr>
      <w:r>
        <w:rPr>
          <w:rFonts w:hint="eastAsia" w:ascii="宋体" w:hAnsi="宋体"/>
          <w:szCs w:val="21"/>
          <w:lang w:val="zh-CN"/>
        </w:rPr>
        <w:t>在此提交的投标文件，已按招标文件的要求密封封装。包括但不限于如下内容：</w:t>
      </w:r>
    </w:p>
    <w:p>
      <w:pPr>
        <w:spacing w:line="312" w:lineRule="auto"/>
        <w:ind w:firstLine="315" w:firstLineChars="150"/>
        <w:rPr>
          <w:rFonts w:ascii="宋体" w:hAnsi="宋体"/>
          <w:szCs w:val="21"/>
          <w:lang w:val="zh-CN"/>
        </w:rPr>
      </w:pPr>
      <w:r>
        <w:rPr>
          <w:rFonts w:hint="eastAsia" w:ascii="宋体" w:hAnsi="宋体"/>
          <w:szCs w:val="21"/>
          <w:lang w:val="zh-CN"/>
        </w:rPr>
        <w:t>（1）投标文件正本</w:t>
      </w:r>
      <w:r>
        <w:rPr>
          <w:rFonts w:hint="eastAsia" w:ascii="宋体" w:hAnsi="宋体" w:eastAsia="宋体" w:cs="Times New Roman"/>
          <w:color w:val="000000"/>
          <w:kern w:val="2"/>
          <w:sz w:val="21"/>
          <w:szCs w:val="21"/>
          <w:u w:val="single"/>
          <w:lang w:val="zh-CN" w:eastAsia="zh-CN" w:bidi="ar"/>
        </w:rPr>
        <w:t xml:space="preserve">   </w:t>
      </w:r>
      <w:r>
        <w:rPr>
          <w:rFonts w:hint="eastAsia" w:ascii="宋体" w:hAnsi="宋体"/>
          <w:szCs w:val="21"/>
          <w:lang w:val="zh-CN"/>
        </w:rPr>
        <w:t>份，副本</w:t>
      </w:r>
      <w:r>
        <w:rPr>
          <w:rFonts w:hint="eastAsia" w:ascii="宋体" w:hAnsi="宋体" w:eastAsia="宋体" w:cs="Times New Roman"/>
          <w:color w:val="000000"/>
          <w:kern w:val="2"/>
          <w:sz w:val="21"/>
          <w:szCs w:val="21"/>
          <w:u w:val="single"/>
          <w:lang w:val="zh-CN" w:eastAsia="zh-CN" w:bidi="ar"/>
        </w:rPr>
        <w:t xml:space="preserve">   </w:t>
      </w:r>
      <w:r>
        <w:rPr>
          <w:rFonts w:hint="eastAsia" w:ascii="宋体" w:hAnsi="宋体"/>
          <w:szCs w:val="21"/>
          <w:lang w:val="zh-CN"/>
        </w:rPr>
        <w:t>份，电子文件</w:t>
      </w:r>
      <w:r>
        <w:rPr>
          <w:rFonts w:hint="eastAsia" w:ascii="宋体" w:hAnsi="宋体" w:eastAsia="宋体" w:cs="Times New Roman"/>
          <w:color w:val="000000"/>
          <w:kern w:val="2"/>
          <w:sz w:val="21"/>
          <w:szCs w:val="21"/>
          <w:u w:val="single"/>
          <w:lang w:val="zh-CN" w:eastAsia="zh-CN" w:bidi="ar"/>
        </w:rPr>
        <w:t xml:space="preserve">   </w:t>
      </w:r>
      <w:r>
        <w:rPr>
          <w:rFonts w:hint="eastAsia" w:ascii="宋体" w:hAnsi="宋体"/>
          <w:szCs w:val="21"/>
          <w:lang w:val="zh-CN"/>
        </w:rPr>
        <w:t>份（按招标文件要求的内容编制）；</w:t>
      </w:r>
    </w:p>
    <w:p>
      <w:pPr>
        <w:spacing w:line="312" w:lineRule="auto"/>
        <w:ind w:firstLine="420"/>
        <w:rPr>
          <w:rFonts w:ascii="宋体" w:hAnsi="宋体"/>
          <w:szCs w:val="21"/>
          <w:lang w:val="zh-CN"/>
        </w:rPr>
      </w:pPr>
      <w:r>
        <w:rPr>
          <w:rFonts w:hint="eastAsia" w:ascii="宋体" w:hAnsi="宋体"/>
          <w:szCs w:val="21"/>
          <w:lang w:val="zh-CN"/>
        </w:rPr>
        <w:t>我方已完全明白招标文件的所有条款要求，并重申以下几点：</w:t>
      </w:r>
    </w:p>
    <w:p>
      <w:pPr>
        <w:spacing w:line="312" w:lineRule="auto"/>
        <w:ind w:left="359"/>
        <w:rPr>
          <w:rFonts w:ascii="宋体" w:hAnsi="宋体"/>
          <w:szCs w:val="21"/>
          <w:lang w:val="zh-CN"/>
        </w:rPr>
      </w:pPr>
      <w:r>
        <w:rPr>
          <w:rFonts w:hint="eastAsia" w:ascii="宋体" w:hAnsi="宋体"/>
          <w:szCs w:val="21"/>
          <w:lang w:val="zh-CN"/>
        </w:rPr>
        <w:t>（</w:t>
      </w:r>
      <w:r>
        <w:rPr>
          <w:rFonts w:ascii="宋体" w:hAnsi="宋体"/>
          <w:szCs w:val="21"/>
          <w:lang w:val="zh-CN"/>
        </w:rPr>
        <w:t>—</w:t>
      </w:r>
      <w:r>
        <w:rPr>
          <w:rFonts w:hint="eastAsia" w:ascii="宋体" w:hAnsi="宋体"/>
          <w:szCs w:val="21"/>
          <w:lang w:val="zh-CN"/>
        </w:rPr>
        <w:t>）我方决定参加项目编号为</w:t>
      </w:r>
      <w:r>
        <w:rPr>
          <w:rFonts w:hint="eastAsia" w:ascii="宋体" w:hAnsi="宋体" w:eastAsia="宋体" w:cs="Times New Roman"/>
          <w:color w:val="000000"/>
          <w:kern w:val="2"/>
          <w:sz w:val="21"/>
          <w:szCs w:val="21"/>
          <w:u w:val="single"/>
          <w:lang w:val="zh-CN" w:eastAsia="zh-CN" w:bidi="ar"/>
        </w:rPr>
        <w:t xml:space="preserve">            </w:t>
      </w:r>
      <w:r>
        <w:rPr>
          <w:rFonts w:hint="eastAsia" w:ascii="宋体" w:hAnsi="宋体"/>
          <w:szCs w:val="21"/>
          <w:lang w:val="zh-CN"/>
        </w:rPr>
        <w:t>的投标；</w:t>
      </w:r>
    </w:p>
    <w:p>
      <w:pPr>
        <w:spacing w:line="312" w:lineRule="auto"/>
        <w:ind w:left="359"/>
        <w:rPr>
          <w:rFonts w:ascii="宋体" w:hAnsi="宋体"/>
          <w:szCs w:val="21"/>
          <w:lang w:val="zh-CN"/>
        </w:rPr>
      </w:pPr>
      <w:r>
        <w:rPr>
          <w:rFonts w:hint="eastAsia" w:ascii="宋体" w:hAnsi="宋体"/>
          <w:szCs w:val="21"/>
          <w:lang w:val="zh-CN"/>
        </w:rPr>
        <w:t>（二）本投标文件有效期自递交投标文件截止日后</w:t>
      </w:r>
      <w:r>
        <w:rPr>
          <w:rFonts w:hint="eastAsia" w:ascii="宋体" w:hAnsi="宋体"/>
          <w:szCs w:val="21"/>
          <w:u w:val="single"/>
          <w:lang w:val="zh-CN"/>
        </w:rPr>
        <w:t>90</w:t>
      </w:r>
      <w:r>
        <w:rPr>
          <w:rFonts w:hint="eastAsia" w:ascii="宋体" w:hAnsi="宋体"/>
          <w:szCs w:val="21"/>
          <w:lang w:val="zh-CN"/>
        </w:rPr>
        <w:t>天有效，如中标，有效期延至</w:t>
      </w:r>
      <w:r>
        <w:rPr>
          <w:rFonts w:hint="eastAsia" w:ascii="宋体" w:hAnsi="宋体"/>
          <w:bCs/>
          <w:szCs w:val="21"/>
        </w:rPr>
        <w:t>项目验收</w:t>
      </w:r>
      <w:r>
        <w:rPr>
          <w:rFonts w:hint="eastAsia" w:ascii="宋体" w:hAnsi="宋体"/>
          <w:szCs w:val="21"/>
          <w:lang w:val="zh-CN"/>
        </w:rPr>
        <w:t>终止日</w:t>
      </w:r>
    </w:p>
    <w:p>
      <w:pPr>
        <w:spacing w:line="312" w:lineRule="auto"/>
        <w:ind w:left="359" w:leftChars="171" w:firstLine="630" w:firstLineChars="300"/>
        <w:rPr>
          <w:rFonts w:ascii="宋体" w:hAnsi="宋体"/>
          <w:szCs w:val="21"/>
          <w:lang w:val="zh-CN"/>
        </w:rPr>
      </w:pPr>
      <w:r>
        <w:rPr>
          <w:rFonts w:hint="eastAsia" w:ascii="宋体" w:hAnsi="宋体"/>
          <w:szCs w:val="21"/>
          <w:lang w:val="zh-CN"/>
        </w:rPr>
        <w:t>为止；</w:t>
      </w:r>
    </w:p>
    <w:p>
      <w:pPr>
        <w:spacing w:line="312" w:lineRule="auto"/>
        <w:ind w:left="945" w:leftChars="150" w:hanging="630" w:hangingChars="300"/>
        <w:rPr>
          <w:rFonts w:ascii="宋体" w:hAnsi="宋体"/>
          <w:szCs w:val="21"/>
        </w:rPr>
      </w:pPr>
      <w:r>
        <w:rPr>
          <w:rFonts w:hint="eastAsia" w:ascii="宋体" w:hAnsi="宋体"/>
          <w:szCs w:val="21"/>
          <w:lang w:val="zh-CN"/>
        </w:rPr>
        <w:t>（三）</w:t>
      </w:r>
      <w:r>
        <w:rPr>
          <w:rFonts w:ascii="宋体" w:hAnsi="宋体"/>
          <w:szCs w:val="21"/>
        </w:rPr>
        <w:t>我方在参与投标前已仔细研究了招标文件和所有相关资料，我方完全明白并认为此招标文件没有倾向性，也没有存在排斥潜在投标人的内容，</w:t>
      </w:r>
      <w:r>
        <w:rPr>
          <w:rFonts w:hint="eastAsia" w:ascii="宋体" w:hAnsi="宋体"/>
          <w:szCs w:val="21"/>
        </w:rPr>
        <w:t>我方完全清晰理解招标文件的要求，不存在任何含糊不清和误解之处，</w:t>
      </w:r>
      <w:r>
        <w:rPr>
          <w:rFonts w:ascii="宋体" w:hAnsi="宋体"/>
          <w:szCs w:val="21"/>
        </w:rPr>
        <w:t>我方同意招标文件的相关条款，放弃对招标文件提出误解和质疑的一切权</w:t>
      </w:r>
      <w:r>
        <w:rPr>
          <w:rFonts w:hint="eastAsia" w:ascii="宋体" w:hAnsi="宋体"/>
          <w:szCs w:val="21"/>
        </w:rPr>
        <w:t>利</w:t>
      </w:r>
      <w:r>
        <w:rPr>
          <w:rFonts w:ascii="宋体" w:hAnsi="宋体"/>
          <w:szCs w:val="21"/>
        </w:rPr>
        <w:t>。</w:t>
      </w:r>
    </w:p>
    <w:p>
      <w:pPr>
        <w:spacing w:line="312" w:lineRule="auto"/>
        <w:ind w:left="945" w:leftChars="150" w:hanging="630" w:hangingChars="300"/>
        <w:rPr>
          <w:rFonts w:ascii="宋体" w:hAnsi="宋体"/>
          <w:szCs w:val="21"/>
          <w:lang w:val="zh-CN"/>
        </w:rPr>
      </w:pPr>
      <w:r>
        <w:rPr>
          <w:rFonts w:hint="eastAsia" w:ascii="宋体" w:hAnsi="宋体"/>
          <w:szCs w:val="21"/>
          <w:lang w:val="zh-CN"/>
        </w:rPr>
        <w:t>（四）我方明白并愿意在规定的递交投标文件截止时间和日期之后，投标有效期之内撤回投标，则投标保证金（如有）将被贵方没收；</w:t>
      </w:r>
    </w:p>
    <w:p>
      <w:pPr>
        <w:spacing w:line="312" w:lineRule="auto"/>
        <w:ind w:left="359"/>
        <w:rPr>
          <w:rFonts w:ascii="宋体" w:hAnsi="宋体"/>
          <w:szCs w:val="21"/>
          <w:lang w:val="zh-CN"/>
        </w:rPr>
      </w:pPr>
      <w:r>
        <w:rPr>
          <w:rFonts w:hint="eastAsia" w:ascii="宋体" w:hAnsi="宋体"/>
          <w:szCs w:val="21"/>
          <w:lang w:val="zh-CN"/>
        </w:rPr>
        <w:t>（五）我方同意按照贵方可能提出的要求而提供与投标有关的任何其它数据或信息；</w:t>
      </w:r>
    </w:p>
    <w:p>
      <w:pPr>
        <w:spacing w:line="312" w:lineRule="auto"/>
        <w:ind w:left="945" w:leftChars="150" w:hanging="630" w:hangingChars="300"/>
        <w:rPr>
          <w:rFonts w:ascii="宋体" w:hAnsi="宋体"/>
          <w:szCs w:val="21"/>
          <w:lang w:val="zh-CN"/>
        </w:rPr>
      </w:pPr>
      <w:r>
        <w:rPr>
          <w:rFonts w:hint="eastAsia" w:ascii="宋体" w:hAnsi="宋体"/>
          <w:szCs w:val="21"/>
          <w:lang w:val="zh-CN"/>
        </w:rPr>
        <w:t>（六）我方完全服从和尊重评标委员会所作的评定结果；</w:t>
      </w:r>
    </w:p>
    <w:p>
      <w:pPr>
        <w:spacing w:line="312" w:lineRule="auto"/>
        <w:ind w:firstLine="315" w:firstLineChars="150"/>
        <w:rPr>
          <w:rFonts w:ascii="宋体" w:hAnsi="宋体"/>
          <w:szCs w:val="21"/>
          <w:lang w:val="zh-CN"/>
        </w:rPr>
      </w:pPr>
      <w:r>
        <w:rPr>
          <w:rFonts w:hint="eastAsia" w:ascii="宋体" w:hAnsi="宋体"/>
          <w:szCs w:val="21"/>
          <w:lang w:val="zh-CN"/>
        </w:rPr>
        <w:t>（七）我方如果中标，将保证履行招标文件以及</w:t>
      </w:r>
      <w:r>
        <w:rPr>
          <w:rFonts w:hint="eastAsia" w:ascii="宋体" w:hAnsi="宋体"/>
          <w:szCs w:val="21"/>
        </w:rPr>
        <w:t>答疑纪要、澄清补充通知等</w:t>
      </w:r>
      <w:r>
        <w:rPr>
          <w:rFonts w:hint="eastAsia" w:ascii="宋体" w:hAnsi="宋体"/>
          <w:szCs w:val="21"/>
          <w:lang w:val="zh-CN"/>
        </w:rPr>
        <w:t>招标文件修改书（如有）</w:t>
      </w:r>
    </w:p>
    <w:p>
      <w:pPr>
        <w:spacing w:line="312" w:lineRule="auto"/>
        <w:ind w:firstLine="945" w:firstLineChars="450"/>
        <w:rPr>
          <w:rFonts w:ascii="宋体" w:hAnsi="宋体"/>
          <w:szCs w:val="21"/>
          <w:u w:val="single"/>
          <w:lang w:val="zh-CN"/>
        </w:rPr>
      </w:pPr>
      <w:r>
        <w:rPr>
          <w:rFonts w:hint="eastAsia" w:ascii="宋体" w:hAnsi="宋体"/>
          <w:szCs w:val="21"/>
          <w:lang w:val="zh-CN"/>
        </w:rPr>
        <w:t>中的全部责任和义务，按质、按量、按期完成《合同书》中的全部任务；</w:t>
      </w:r>
    </w:p>
    <w:p>
      <w:pPr>
        <w:spacing w:line="312" w:lineRule="auto"/>
        <w:ind w:left="359"/>
        <w:rPr>
          <w:rFonts w:ascii="宋体" w:hAnsi="宋体"/>
          <w:szCs w:val="21"/>
          <w:u w:val="single"/>
          <w:lang w:val="zh-CN"/>
        </w:rPr>
      </w:pPr>
      <w:r>
        <w:rPr>
          <w:rFonts w:hint="eastAsia" w:ascii="宋体" w:hAnsi="宋体"/>
          <w:szCs w:val="21"/>
          <w:lang w:val="zh-CN"/>
        </w:rPr>
        <w:t>（八）所有与本投标有关的函件请发往下列地址：</w:t>
      </w:r>
    </w:p>
    <w:tbl>
      <w:tblPr>
        <w:tblStyle w:val="44"/>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3"/>
        <w:gridCol w:w="2764"/>
        <w:gridCol w:w="930"/>
        <w:gridCol w:w="1417"/>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63" w:type="dxa"/>
            <w:noWrap/>
            <w:vAlign w:val="center"/>
          </w:tcPr>
          <w:p>
            <w:pPr>
              <w:keepNext w:val="0"/>
              <w:keepLines w:val="0"/>
              <w:suppressLineNumbers w:val="0"/>
              <w:spacing w:before="0" w:beforeAutospacing="0" w:after="0" w:afterAutospacing="0" w:line="300" w:lineRule="auto"/>
              <w:ind w:left="0" w:right="0"/>
              <w:jc w:val="center"/>
              <w:rPr>
                <w:rFonts w:ascii="宋体" w:hAnsi="宋体"/>
                <w:szCs w:val="21"/>
              </w:rPr>
            </w:pPr>
            <w:r>
              <w:rPr>
                <w:rFonts w:hint="eastAsia" w:ascii="宋体" w:hAnsi="宋体"/>
                <w:szCs w:val="21"/>
              </w:rPr>
              <w:t>收件人单位</w:t>
            </w:r>
          </w:p>
        </w:tc>
        <w:tc>
          <w:tcPr>
            <w:tcW w:w="2764" w:type="dxa"/>
            <w:noWrap/>
            <w:vAlign w:val="center"/>
          </w:tcPr>
          <w:p>
            <w:pPr>
              <w:keepNext w:val="0"/>
              <w:keepLines w:val="0"/>
              <w:suppressLineNumbers w:val="0"/>
              <w:spacing w:before="0" w:beforeAutospacing="0" w:after="0" w:afterAutospacing="0" w:line="300" w:lineRule="auto"/>
              <w:ind w:left="0" w:right="0"/>
              <w:jc w:val="center"/>
              <w:rPr>
                <w:rFonts w:ascii="宋体" w:hAnsi="宋体"/>
                <w:szCs w:val="21"/>
              </w:rPr>
            </w:pPr>
            <w:r>
              <w:rPr>
                <w:rFonts w:hint="eastAsia" w:ascii="宋体" w:hAnsi="宋体"/>
                <w:szCs w:val="21"/>
              </w:rPr>
              <w:t>地址</w:t>
            </w:r>
          </w:p>
        </w:tc>
        <w:tc>
          <w:tcPr>
            <w:tcW w:w="930" w:type="dxa"/>
            <w:noWrap/>
            <w:vAlign w:val="center"/>
          </w:tcPr>
          <w:p>
            <w:pPr>
              <w:keepNext w:val="0"/>
              <w:keepLines w:val="0"/>
              <w:suppressLineNumbers w:val="0"/>
              <w:spacing w:before="0" w:beforeAutospacing="0" w:after="0" w:afterAutospacing="0" w:line="300" w:lineRule="auto"/>
              <w:ind w:left="0" w:right="0"/>
              <w:jc w:val="center"/>
              <w:rPr>
                <w:rFonts w:ascii="宋体" w:hAnsi="宋体"/>
                <w:szCs w:val="21"/>
              </w:rPr>
            </w:pPr>
            <w:r>
              <w:rPr>
                <w:rFonts w:hint="eastAsia" w:ascii="宋体" w:hAnsi="宋体"/>
                <w:szCs w:val="21"/>
              </w:rPr>
              <w:t>邮编</w:t>
            </w:r>
          </w:p>
        </w:tc>
        <w:tc>
          <w:tcPr>
            <w:tcW w:w="1417" w:type="dxa"/>
            <w:noWrap/>
            <w:vAlign w:val="center"/>
          </w:tcPr>
          <w:p>
            <w:pPr>
              <w:keepNext w:val="0"/>
              <w:keepLines w:val="0"/>
              <w:suppressLineNumbers w:val="0"/>
              <w:spacing w:before="0" w:beforeAutospacing="0" w:after="0" w:afterAutospacing="0" w:line="300" w:lineRule="auto"/>
              <w:ind w:left="0" w:right="0"/>
              <w:jc w:val="center"/>
              <w:rPr>
                <w:rFonts w:ascii="宋体" w:hAnsi="宋体"/>
                <w:szCs w:val="21"/>
              </w:rPr>
            </w:pPr>
            <w:r>
              <w:rPr>
                <w:rFonts w:hint="eastAsia" w:ascii="宋体" w:hAnsi="宋体"/>
                <w:szCs w:val="21"/>
              </w:rPr>
              <w:t>收件人姓名</w:t>
            </w:r>
          </w:p>
        </w:tc>
        <w:tc>
          <w:tcPr>
            <w:tcW w:w="1181" w:type="dxa"/>
            <w:noWrap/>
            <w:vAlign w:val="center"/>
          </w:tcPr>
          <w:p>
            <w:pPr>
              <w:keepNext w:val="0"/>
              <w:keepLines w:val="0"/>
              <w:suppressLineNumbers w:val="0"/>
              <w:spacing w:before="0" w:beforeAutospacing="0" w:after="0" w:afterAutospacing="0" w:line="300" w:lineRule="auto"/>
              <w:ind w:left="0" w:right="0"/>
              <w:jc w:val="center"/>
              <w:rPr>
                <w:rFonts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63" w:type="dxa"/>
            <w:noWrap/>
            <w:vAlign w:val="center"/>
          </w:tcPr>
          <w:p>
            <w:pPr>
              <w:keepNext w:val="0"/>
              <w:keepLines w:val="0"/>
              <w:suppressLineNumbers w:val="0"/>
              <w:spacing w:before="0" w:beforeAutospacing="0" w:after="0" w:afterAutospacing="0" w:line="300" w:lineRule="auto"/>
              <w:ind w:left="0" w:right="0"/>
              <w:jc w:val="center"/>
              <w:rPr>
                <w:rFonts w:ascii="宋体" w:hAnsi="宋体"/>
                <w:szCs w:val="21"/>
              </w:rPr>
            </w:pPr>
          </w:p>
        </w:tc>
        <w:tc>
          <w:tcPr>
            <w:tcW w:w="2764" w:type="dxa"/>
            <w:noWrap/>
            <w:vAlign w:val="center"/>
          </w:tcPr>
          <w:p>
            <w:pPr>
              <w:keepNext w:val="0"/>
              <w:keepLines w:val="0"/>
              <w:suppressLineNumbers w:val="0"/>
              <w:spacing w:before="0" w:beforeAutospacing="0" w:after="0" w:afterAutospacing="0" w:line="300" w:lineRule="auto"/>
              <w:ind w:left="0" w:right="0"/>
              <w:jc w:val="center"/>
              <w:rPr>
                <w:rFonts w:ascii="宋体" w:hAnsi="宋体"/>
                <w:szCs w:val="21"/>
              </w:rPr>
            </w:pPr>
          </w:p>
        </w:tc>
        <w:tc>
          <w:tcPr>
            <w:tcW w:w="930" w:type="dxa"/>
            <w:noWrap/>
            <w:vAlign w:val="center"/>
          </w:tcPr>
          <w:p>
            <w:pPr>
              <w:keepNext w:val="0"/>
              <w:keepLines w:val="0"/>
              <w:suppressLineNumbers w:val="0"/>
              <w:spacing w:before="0" w:beforeAutospacing="0" w:after="0" w:afterAutospacing="0" w:line="300" w:lineRule="auto"/>
              <w:ind w:left="0" w:right="0"/>
              <w:jc w:val="center"/>
              <w:rPr>
                <w:rFonts w:ascii="宋体" w:hAnsi="宋体"/>
                <w:szCs w:val="21"/>
              </w:rPr>
            </w:pPr>
          </w:p>
        </w:tc>
        <w:tc>
          <w:tcPr>
            <w:tcW w:w="1417" w:type="dxa"/>
            <w:noWrap/>
            <w:vAlign w:val="center"/>
          </w:tcPr>
          <w:p>
            <w:pPr>
              <w:keepNext w:val="0"/>
              <w:keepLines w:val="0"/>
              <w:suppressLineNumbers w:val="0"/>
              <w:spacing w:before="0" w:beforeAutospacing="0" w:after="0" w:afterAutospacing="0" w:line="300" w:lineRule="auto"/>
              <w:ind w:left="0" w:right="0"/>
              <w:jc w:val="center"/>
              <w:rPr>
                <w:rFonts w:ascii="宋体" w:hAnsi="宋体"/>
                <w:szCs w:val="21"/>
              </w:rPr>
            </w:pPr>
          </w:p>
        </w:tc>
        <w:tc>
          <w:tcPr>
            <w:tcW w:w="1181" w:type="dxa"/>
            <w:noWrap/>
            <w:vAlign w:val="center"/>
          </w:tcPr>
          <w:p>
            <w:pPr>
              <w:keepNext w:val="0"/>
              <w:keepLines w:val="0"/>
              <w:suppressLineNumbers w:val="0"/>
              <w:spacing w:before="0" w:beforeAutospacing="0" w:after="0" w:afterAutospacing="0" w:line="300" w:lineRule="auto"/>
              <w:ind w:left="0" w:right="0"/>
              <w:jc w:val="center"/>
              <w:rPr>
                <w:rFonts w:ascii="宋体" w:hAnsi="宋体"/>
                <w:szCs w:val="21"/>
              </w:rPr>
            </w:pPr>
          </w:p>
        </w:tc>
      </w:tr>
    </w:tbl>
    <w:p>
      <w:pPr>
        <w:spacing w:line="360" w:lineRule="auto"/>
        <w:ind w:firstLine="3885" w:firstLineChars="1850"/>
        <w:rPr>
          <w:rFonts w:ascii="宋体" w:hAnsi="宋体"/>
          <w:szCs w:val="21"/>
        </w:rPr>
      </w:pPr>
    </w:p>
    <w:p>
      <w:pPr>
        <w:spacing w:line="360" w:lineRule="auto"/>
        <w:ind w:firstLine="3885" w:firstLineChars="1850"/>
        <w:rPr>
          <w:rFonts w:ascii="宋体" w:hAnsi="宋体"/>
          <w:szCs w:val="21"/>
        </w:rPr>
      </w:pPr>
    </w:p>
    <w:p>
      <w:pPr>
        <w:spacing w:line="360" w:lineRule="auto"/>
        <w:ind w:firstLine="4410" w:firstLineChars="2100"/>
        <w:rPr>
          <w:rFonts w:ascii="宋体" w:hAnsi="宋体"/>
          <w:szCs w:val="21"/>
        </w:rPr>
      </w:pPr>
      <w:r>
        <w:rPr>
          <w:rFonts w:hint="eastAsia" w:ascii="宋体" w:hAnsi="宋体"/>
          <w:szCs w:val="21"/>
        </w:rPr>
        <w:t>投标人全称（盖公章）：</w:t>
      </w:r>
    </w:p>
    <w:p>
      <w:pPr>
        <w:spacing w:line="360" w:lineRule="auto"/>
        <w:ind w:left="3885" w:leftChars="200" w:hanging="3465" w:hangingChars="1650"/>
        <w:rPr>
          <w:rFonts w:ascii="宋体" w:hAnsi="宋体"/>
        </w:rPr>
      </w:pPr>
      <w:r>
        <w:rPr>
          <w:rFonts w:hint="eastAsia" w:ascii="宋体" w:hAnsi="宋体"/>
        </w:rPr>
        <w:t xml:space="preserve">                                      法定代表人或授权代表（签字或盖章）：</w:t>
      </w:r>
    </w:p>
    <w:p>
      <w:pPr>
        <w:tabs>
          <w:tab w:val="left" w:pos="6420"/>
        </w:tabs>
        <w:spacing w:afterLines="1000" w:line="360" w:lineRule="auto"/>
        <w:ind w:left="3885" w:leftChars="200" w:hanging="3465" w:hangingChars="1650"/>
        <w:rPr>
          <w:rFonts w:ascii="宋体" w:hAnsi="宋体"/>
        </w:rPr>
      </w:pPr>
      <w:r>
        <w:rPr>
          <w:rFonts w:hint="eastAsia" w:ascii="宋体" w:hAnsi="宋体"/>
        </w:rPr>
        <w:t xml:space="preserve">                                      日       期：</w:t>
      </w:r>
      <w:r>
        <w:rPr>
          <w:rFonts w:ascii="宋体" w:hAnsi="宋体"/>
        </w:rPr>
        <w:tab/>
      </w:r>
    </w:p>
    <w:p>
      <w:pPr>
        <w:spacing w:line="360" w:lineRule="auto"/>
        <w:rPr>
          <w:rFonts w:ascii="宋体" w:hAnsi="宋体"/>
          <w:b/>
          <w:bCs/>
          <w:szCs w:val="21"/>
        </w:rPr>
      </w:pPr>
      <w:bookmarkStart w:id="41" w:name="_Hlt320264334"/>
      <w:bookmarkEnd w:id="41"/>
      <w:bookmarkStart w:id="42" w:name="_Hlt320264367"/>
      <w:bookmarkEnd w:id="42"/>
      <w:bookmarkStart w:id="43" w:name="_Toc402449380"/>
      <w:bookmarkStart w:id="44" w:name="_Toc402335424"/>
      <w:bookmarkStart w:id="45" w:name="_Toc398111571"/>
      <w:bookmarkStart w:id="46" w:name="_Toc402888892"/>
      <w:bookmarkStart w:id="47" w:name="_Toc399233864"/>
      <w:bookmarkStart w:id="48" w:name="_Toc398024658"/>
      <w:bookmarkStart w:id="49" w:name="_Toc398196983"/>
      <w:bookmarkStart w:id="50" w:name="_Toc399169331"/>
      <w:bookmarkStart w:id="51" w:name="_Toc398196954"/>
    </w:p>
    <w:p>
      <w:pPr>
        <w:spacing w:line="360" w:lineRule="auto"/>
        <w:rPr>
          <w:rFonts w:hint="eastAsia" w:ascii="宋体" w:hAnsi="宋体"/>
          <w:b/>
          <w:bCs/>
          <w:szCs w:val="21"/>
        </w:rPr>
      </w:pPr>
    </w:p>
    <w:p>
      <w:pPr>
        <w:spacing w:line="360" w:lineRule="auto"/>
        <w:rPr>
          <w:rFonts w:ascii="宋体" w:hAnsi="宋体"/>
          <w:b/>
          <w:szCs w:val="21"/>
        </w:rPr>
      </w:pPr>
      <w:r>
        <w:rPr>
          <w:rFonts w:hint="eastAsia" w:ascii="宋体" w:hAnsi="宋体"/>
          <w:b/>
          <w:bCs/>
          <w:szCs w:val="21"/>
        </w:rPr>
        <w:t>2．</w:t>
      </w:r>
      <w:r>
        <w:rPr>
          <w:rFonts w:hint="eastAsia" w:ascii="宋体" w:hAnsi="宋体"/>
          <w:b/>
          <w:szCs w:val="21"/>
        </w:rPr>
        <w:t>法定</w:t>
      </w:r>
      <w:r>
        <w:rPr>
          <w:rFonts w:hint="eastAsia" w:ascii="宋体" w:hAnsi="宋体"/>
          <w:b/>
        </w:rPr>
        <w:t>代表</w:t>
      </w:r>
      <w:r>
        <w:rPr>
          <w:rFonts w:hint="eastAsia" w:ascii="宋体" w:hAnsi="宋体"/>
          <w:b/>
          <w:szCs w:val="21"/>
        </w:rPr>
        <w:t>人证明书</w:t>
      </w:r>
      <w:bookmarkEnd w:id="43"/>
      <w:bookmarkEnd w:id="44"/>
      <w:bookmarkEnd w:id="45"/>
      <w:bookmarkEnd w:id="46"/>
      <w:bookmarkEnd w:id="47"/>
      <w:bookmarkEnd w:id="48"/>
      <w:bookmarkEnd w:id="49"/>
      <w:bookmarkEnd w:id="50"/>
      <w:bookmarkEnd w:id="51"/>
    </w:p>
    <w:p>
      <w:pPr>
        <w:rPr>
          <w:rFonts w:ascii="宋体" w:hAnsi="宋体"/>
        </w:rPr>
      </w:pPr>
    </w:p>
    <w:p>
      <w:pPr>
        <w:tabs>
          <w:tab w:val="left" w:pos="900"/>
        </w:tabs>
        <w:spacing w:line="360" w:lineRule="auto"/>
        <w:ind w:firstLine="703" w:firstLineChars="250"/>
        <w:jc w:val="center"/>
        <w:rPr>
          <w:rFonts w:ascii="宋体" w:hAnsi="宋体"/>
          <w:b/>
          <w:sz w:val="28"/>
          <w:szCs w:val="28"/>
        </w:rPr>
      </w:pPr>
      <w:r>
        <w:rPr>
          <w:rFonts w:hint="eastAsia" w:ascii="宋体" w:hAnsi="宋体"/>
          <w:b/>
          <w:sz w:val="28"/>
          <w:szCs w:val="28"/>
        </w:rPr>
        <w:t>法定代表人证明书</w:t>
      </w:r>
    </w:p>
    <w:p>
      <w:pPr>
        <w:tabs>
          <w:tab w:val="left" w:pos="900"/>
        </w:tabs>
        <w:spacing w:line="360" w:lineRule="auto"/>
        <w:ind w:firstLine="525" w:firstLineChars="250"/>
        <w:rPr>
          <w:rFonts w:ascii="宋体" w:hAnsi="宋体"/>
          <w:u w:val="single"/>
        </w:rPr>
      </w:pPr>
    </w:p>
    <w:p>
      <w:pPr>
        <w:keepNext w:val="0"/>
        <w:keepLines w:val="0"/>
        <w:widowControl w:val="0"/>
        <w:suppressLineNumbers w:val="0"/>
        <w:tabs>
          <w:tab w:val="left" w:pos="900"/>
        </w:tabs>
        <w:spacing w:before="0" w:beforeAutospacing="0" w:after="0" w:afterAutospacing="0" w:line="360" w:lineRule="auto"/>
        <w:ind w:left="0" w:right="0" w:firstLine="525" w:firstLineChars="250"/>
        <w:jc w:val="both"/>
        <w:rPr>
          <w:rFonts w:hint="eastAsia" w:ascii="宋体" w:hAnsi="宋体" w:eastAsia="宋体" w:cs="宋体"/>
          <w:color w:val="000000"/>
          <w:lang w:val="en-US"/>
        </w:rPr>
      </w:pPr>
      <w:r>
        <w:rPr>
          <w:rFonts w:hint="eastAsia" w:ascii="宋体" w:hAnsi="宋体" w:eastAsia="宋体" w:cs="宋体"/>
          <w:color w:val="000000"/>
          <w:kern w:val="2"/>
          <w:sz w:val="21"/>
          <w:szCs w:val="20"/>
          <w:u w:val="single"/>
          <w:lang w:val="en-US" w:eastAsia="zh-CN" w:bidi="ar"/>
        </w:rPr>
        <w:t xml:space="preserve">          </w:t>
      </w:r>
      <w:r>
        <w:rPr>
          <w:rFonts w:hint="eastAsia" w:ascii="宋体" w:hAnsi="宋体" w:eastAsia="宋体" w:cs="宋体"/>
          <w:color w:val="000000"/>
          <w:kern w:val="2"/>
          <w:sz w:val="21"/>
          <w:szCs w:val="20"/>
          <w:lang w:val="en-US" w:eastAsia="zh-CN" w:bidi="ar"/>
        </w:rPr>
        <w:t>先生/女士，现任我单位法定代表人，特此证明。</w:t>
      </w:r>
    </w:p>
    <w:p>
      <w:pPr>
        <w:keepNext w:val="0"/>
        <w:keepLines w:val="0"/>
        <w:widowControl w:val="0"/>
        <w:suppressLineNumbers w:val="0"/>
        <w:tabs>
          <w:tab w:val="left" w:pos="900"/>
        </w:tabs>
        <w:spacing w:before="0" w:beforeAutospacing="0" w:after="0" w:afterAutospacing="0" w:line="360" w:lineRule="auto"/>
        <w:ind w:left="0" w:right="0" w:firstLine="525" w:firstLineChars="250"/>
        <w:jc w:val="both"/>
        <w:rPr>
          <w:rFonts w:hint="eastAsia" w:ascii="宋体" w:hAnsi="宋体" w:eastAsia="宋体" w:cs="宋体"/>
          <w:color w:val="000000"/>
          <w:lang w:val="en-US"/>
        </w:rPr>
      </w:pP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lang w:val="en-US"/>
        </w:rPr>
      </w:pPr>
      <w:r>
        <w:rPr>
          <w:rFonts w:hint="eastAsia" w:ascii="宋体" w:hAnsi="宋体" w:eastAsia="宋体" w:cs="宋体"/>
          <w:color w:val="000000"/>
          <w:kern w:val="2"/>
          <w:sz w:val="21"/>
          <w:szCs w:val="20"/>
          <w:lang w:val="en-US" w:eastAsia="zh-CN" w:bidi="ar"/>
        </w:rPr>
        <w:t>法定代表人性别  ：</w:t>
      </w:r>
      <w:r>
        <w:rPr>
          <w:rFonts w:hint="eastAsia" w:ascii="宋体" w:hAnsi="宋体" w:eastAsia="宋体" w:cs="宋体"/>
          <w:color w:val="000000"/>
          <w:kern w:val="2"/>
          <w:sz w:val="21"/>
          <w:szCs w:val="20"/>
          <w:u w:val="single"/>
          <w:lang w:val="en-US" w:eastAsia="zh-CN" w:bidi="ar"/>
        </w:rPr>
        <w:t xml:space="preserve">                </w:t>
      </w:r>
      <w:r>
        <w:rPr>
          <w:rFonts w:hint="eastAsia" w:ascii="宋体" w:hAnsi="宋体" w:eastAsia="宋体" w:cs="宋体"/>
          <w:color w:val="000000"/>
          <w:kern w:val="2"/>
          <w:sz w:val="21"/>
          <w:szCs w:val="20"/>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lang w:val="en-US"/>
        </w:rPr>
      </w:pPr>
      <w:r>
        <w:rPr>
          <w:rFonts w:hint="eastAsia" w:ascii="宋体" w:hAnsi="宋体" w:eastAsia="宋体" w:cs="宋体"/>
          <w:color w:val="000000"/>
          <w:kern w:val="2"/>
          <w:sz w:val="21"/>
          <w:szCs w:val="20"/>
          <w:lang w:val="en-US" w:eastAsia="zh-CN" w:bidi="ar"/>
        </w:rPr>
        <w:t>年            龄：</w:t>
      </w:r>
      <w:r>
        <w:rPr>
          <w:rFonts w:hint="eastAsia" w:ascii="宋体" w:hAnsi="宋体" w:eastAsia="宋体" w:cs="宋体"/>
          <w:color w:val="000000"/>
          <w:kern w:val="2"/>
          <w:sz w:val="21"/>
          <w:szCs w:val="20"/>
          <w:u w:val="singl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u w:val="single"/>
          <w:lang w:val="en-US"/>
        </w:rPr>
      </w:pPr>
      <w:r>
        <w:rPr>
          <w:rFonts w:hint="eastAsia" w:ascii="宋体" w:hAnsi="宋体" w:eastAsia="宋体" w:cs="宋体"/>
          <w:color w:val="000000"/>
          <w:kern w:val="2"/>
          <w:sz w:val="21"/>
          <w:szCs w:val="20"/>
          <w:lang w:val="en-US" w:eastAsia="zh-CN" w:bidi="ar"/>
        </w:rPr>
        <w:t>身  份 证 号 码 ：</w:t>
      </w:r>
      <w:r>
        <w:rPr>
          <w:rFonts w:hint="eastAsia" w:ascii="宋体" w:hAnsi="宋体" w:eastAsia="宋体" w:cs="宋体"/>
          <w:color w:val="000000"/>
          <w:kern w:val="2"/>
          <w:sz w:val="21"/>
          <w:szCs w:val="20"/>
          <w:u w:val="singl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lang w:val="en-US"/>
        </w:rPr>
      </w:pPr>
      <w:r>
        <w:rPr>
          <w:rFonts w:hint="eastAsia" w:ascii="宋体" w:hAnsi="宋体" w:eastAsia="宋体" w:cs="宋体"/>
          <w:color w:val="000000"/>
          <w:kern w:val="2"/>
          <w:sz w:val="21"/>
          <w:szCs w:val="20"/>
          <w:lang w:val="en-US" w:eastAsia="zh-CN" w:bidi="ar"/>
        </w:rPr>
        <w:t>统一社会信用代码：</w:t>
      </w:r>
      <w:r>
        <w:rPr>
          <w:rFonts w:hint="eastAsia" w:ascii="宋体" w:hAnsi="宋体" w:eastAsia="宋体" w:cs="宋体"/>
          <w:color w:val="000000"/>
          <w:kern w:val="2"/>
          <w:sz w:val="21"/>
          <w:szCs w:val="20"/>
          <w:u w:val="single"/>
          <w:lang w:val="en-US" w:eastAsia="zh-CN" w:bidi="ar"/>
        </w:rPr>
        <w:t xml:space="preserve">                </w:t>
      </w:r>
    </w:p>
    <w:p>
      <w:pPr>
        <w:spacing w:line="360" w:lineRule="auto"/>
        <w:rPr>
          <w:rFonts w:ascii="宋体" w:hAnsi="宋体"/>
        </w:rPr>
      </w:pPr>
    </w:p>
    <w:p>
      <w:pPr>
        <w:spacing w:line="360" w:lineRule="auto"/>
        <w:rPr>
          <w:rFonts w:ascii="宋体" w:hAnsi="宋体"/>
        </w:rPr>
      </w:pPr>
    </w:p>
    <w:p>
      <w:pPr>
        <w:tabs>
          <w:tab w:val="left" w:pos="4962"/>
        </w:tabs>
        <w:spacing w:line="360" w:lineRule="auto"/>
        <w:rPr>
          <w:rFonts w:ascii="宋体" w:hAnsi="宋体"/>
        </w:rPr>
      </w:pPr>
    </w:p>
    <w:p>
      <w:pPr>
        <w:spacing w:line="360" w:lineRule="auto"/>
        <w:rPr>
          <w:rFonts w:ascii="宋体" w:hAnsi="宋体"/>
        </w:rPr>
      </w:pPr>
      <w:r>
        <w:rPr>
          <w:rFonts w:hint="eastAsia" w:ascii="宋体" w:hAnsi="宋体"/>
        </w:rPr>
        <w:t xml:space="preserve">日期：                 </w:t>
      </w:r>
      <w:r>
        <w:rPr>
          <w:rFonts w:hint="eastAsia" w:ascii="宋体" w:hAnsi="宋体"/>
          <w:szCs w:val="21"/>
        </w:rPr>
        <w:t>投标人全称</w:t>
      </w:r>
      <w:r>
        <w:rPr>
          <w:rFonts w:hint="eastAsia" w:ascii="宋体" w:hAnsi="宋体"/>
        </w:rPr>
        <w:t>（盖公章）：</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tbl>
      <w:tblPr>
        <w:tblStyle w:val="44"/>
        <w:tblW w:w="7155"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7155"/>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10" w:hRule="atLeast"/>
          <w:jc w:val="center"/>
        </w:trPr>
        <w:tc>
          <w:tcPr>
            <w:tcW w:w="7155" w:type="dxa"/>
            <w:noWrap/>
            <w:vAlign w:val="center"/>
          </w:tcPr>
          <w:p>
            <w:pPr>
              <w:keepNext w:val="0"/>
              <w:keepLines w:val="0"/>
              <w:suppressLineNumbers w:val="0"/>
              <w:spacing w:before="0" w:beforeAutospacing="0" w:after="0" w:afterAutospacing="0" w:line="360" w:lineRule="auto"/>
              <w:ind w:left="0" w:right="0"/>
              <w:jc w:val="center"/>
              <w:rPr>
                <w:rFonts w:ascii="宋体" w:hAnsi="宋体"/>
                <w:szCs w:val="22"/>
              </w:rPr>
            </w:pPr>
            <w:r>
              <w:rPr>
                <w:rFonts w:hint="eastAsia" w:ascii="宋体" w:hAnsi="宋体"/>
                <w:szCs w:val="22"/>
              </w:rPr>
              <w:t>法定代表人</w:t>
            </w:r>
          </w:p>
          <w:p>
            <w:pPr>
              <w:keepNext w:val="0"/>
              <w:keepLines w:val="0"/>
              <w:suppressLineNumbers w:val="0"/>
              <w:spacing w:before="0" w:beforeAutospacing="0" w:after="0" w:afterAutospacing="0" w:line="360" w:lineRule="auto"/>
              <w:ind w:left="0" w:right="0"/>
              <w:jc w:val="center"/>
              <w:rPr>
                <w:rFonts w:ascii="宋体" w:hAnsi="宋体"/>
                <w:szCs w:val="22"/>
              </w:rPr>
            </w:pPr>
            <w:r>
              <w:rPr>
                <w:rFonts w:hint="eastAsia" w:ascii="宋体" w:hAnsi="宋体"/>
                <w:szCs w:val="22"/>
              </w:rPr>
              <w:t>居民身份证复印件粘贴处（正、反面）</w:t>
            </w:r>
          </w:p>
        </w:tc>
      </w:tr>
    </w:tbl>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afterLines="2000" w:line="360" w:lineRule="auto"/>
        <w:rPr>
          <w:rFonts w:ascii="宋体" w:hAnsi="宋体"/>
        </w:rPr>
      </w:pPr>
    </w:p>
    <w:p>
      <w:pPr>
        <w:spacing w:line="360" w:lineRule="auto"/>
        <w:rPr>
          <w:rFonts w:ascii="宋体" w:hAnsi="宋体"/>
          <w:b/>
        </w:rPr>
      </w:pPr>
      <w:bookmarkStart w:id="52" w:name="_Toc399233865"/>
      <w:bookmarkStart w:id="53" w:name="_Toc402335425"/>
      <w:bookmarkStart w:id="54" w:name="_Toc398196955"/>
      <w:bookmarkStart w:id="55" w:name="_Toc399169332"/>
      <w:bookmarkStart w:id="56" w:name="_Toc398196984"/>
      <w:bookmarkStart w:id="57" w:name="_Toc402449381"/>
      <w:bookmarkStart w:id="58" w:name="_Toc398024659"/>
      <w:bookmarkStart w:id="59" w:name="_Toc402888893"/>
      <w:bookmarkStart w:id="60" w:name="_Toc398111572"/>
      <w:r>
        <w:rPr>
          <w:rFonts w:hint="eastAsia" w:ascii="宋体" w:hAnsi="宋体"/>
          <w:b/>
        </w:rPr>
        <w:t>3．法人授权委托书</w:t>
      </w:r>
      <w:bookmarkEnd w:id="52"/>
      <w:bookmarkEnd w:id="53"/>
      <w:bookmarkEnd w:id="54"/>
      <w:bookmarkEnd w:id="55"/>
      <w:bookmarkEnd w:id="56"/>
      <w:bookmarkEnd w:id="57"/>
      <w:bookmarkEnd w:id="58"/>
      <w:bookmarkEnd w:id="59"/>
      <w:bookmarkEnd w:id="60"/>
    </w:p>
    <w:p>
      <w:pPr>
        <w:spacing w:line="360" w:lineRule="auto"/>
        <w:ind w:left="2" w:firstLine="405" w:firstLineChars="192"/>
        <w:rPr>
          <w:rFonts w:ascii="宋体" w:hAnsi="宋体"/>
          <w:b/>
        </w:rPr>
      </w:pPr>
    </w:p>
    <w:p>
      <w:pPr>
        <w:spacing w:line="360" w:lineRule="auto"/>
        <w:ind w:left="2" w:firstLine="540" w:firstLineChars="192"/>
        <w:jc w:val="center"/>
        <w:rPr>
          <w:rFonts w:ascii="宋体" w:hAnsi="宋体"/>
          <w:b/>
          <w:sz w:val="28"/>
          <w:szCs w:val="28"/>
        </w:rPr>
      </w:pPr>
      <w:r>
        <w:rPr>
          <w:rFonts w:hint="eastAsia" w:ascii="宋体" w:hAnsi="宋体"/>
          <w:b/>
          <w:sz w:val="28"/>
          <w:szCs w:val="28"/>
        </w:rPr>
        <w:t>法人授权委托书</w:t>
      </w:r>
    </w:p>
    <w:p>
      <w:pPr>
        <w:spacing w:line="360" w:lineRule="auto"/>
        <w:ind w:firstLine="420" w:firstLineChars="200"/>
        <w:rPr>
          <w:rFonts w:ascii="宋体" w:hAnsi="宋体" w:cs="宋体"/>
          <w:color w:val="000000"/>
          <w:szCs w:val="21"/>
        </w:rPr>
      </w:pPr>
      <w:r>
        <w:rPr>
          <w:rFonts w:hint="eastAsia" w:ascii="宋体" w:hAnsi="宋体" w:cs="宋体"/>
          <w:color w:val="000000"/>
        </w:rPr>
        <w:t>本授权书声明：</w:t>
      </w:r>
      <w:r>
        <w:rPr>
          <w:rFonts w:hint="eastAsia" w:ascii="宋体" w:hAnsi="宋体" w:cs="宋体"/>
          <w:color w:val="000000"/>
          <w:u w:val="single"/>
        </w:rPr>
        <w:t xml:space="preserve">    （投标人名称）                </w:t>
      </w:r>
      <w:r>
        <w:rPr>
          <w:rFonts w:hint="eastAsia" w:ascii="宋体" w:hAnsi="宋体" w:cs="宋体"/>
          <w:color w:val="000000"/>
        </w:rPr>
        <w:t>的法定代表人</w:t>
      </w:r>
      <w:r>
        <w:rPr>
          <w:rFonts w:hint="eastAsia" w:ascii="宋体" w:hAnsi="宋体" w:eastAsia="宋体" w:cs="Times New Roman"/>
          <w:color w:val="000000"/>
          <w:kern w:val="2"/>
          <w:sz w:val="21"/>
          <w:szCs w:val="20"/>
          <w:u w:val="single"/>
          <w:lang w:val="en-US" w:eastAsia="zh-CN" w:bidi="ar"/>
        </w:rPr>
        <w:t xml:space="preserve">            </w:t>
      </w:r>
      <w:r>
        <w:rPr>
          <w:rFonts w:hint="eastAsia" w:ascii="宋体" w:hAnsi="宋体" w:cs="宋体"/>
          <w:color w:val="000000"/>
        </w:rPr>
        <w:t>（姓名、职务）代表本单位授权</w:t>
      </w:r>
      <w:r>
        <w:rPr>
          <w:rFonts w:hint="eastAsia" w:ascii="宋体" w:hAnsi="宋体" w:eastAsia="宋体" w:cs="Times New Roman"/>
          <w:color w:val="000000"/>
          <w:kern w:val="2"/>
          <w:sz w:val="21"/>
          <w:szCs w:val="20"/>
          <w:u w:val="single"/>
          <w:lang w:val="en-US" w:eastAsia="zh-CN" w:bidi="ar"/>
        </w:rPr>
        <w:t xml:space="preserve">                  </w:t>
      </w:r>
      <w:r>
        <w:rPr>
          <w:rFonts w:hint="eastAsia" w:ascii="宋体" w:hAnsi="宋体" w:cs="宋体"/>
          <w:color w:val="000000"/>
        </w:rPr>
        <w:t>（授权代表姓名、职务）为本单位的合法代理人，代理参加项目编号为</w:t>
      </w:r>
      <w:r>
        <w:rPr>
          <w:rFonts w:hint="eastAsia" w:ascii="宋体" w:hAnsi="宋体" w:eastAsia="宋体" w:cs="Times New Roman"/>
          <w:color w:val="000000"/>
          <w:kern w:val="2"/>
          <w:sz w:val="21"/>
          <w:szCs w:val="20"/>
          <w:u w:val="single"/>
          <w:lang w:val="en-US" w:eastAsia="zh-CN" w:bidi="ar"/>
        </w:rPr>
        <w:t xml:space="preserve">                  </w:t>
      </w:r>
      <w:r>
        <w:rPr>
          <w:rFonts w:hint="eastAsia" w:ascii="宋体" w:hAnsi="宋体" w:cs="宋体"/>
          <w:color w:val="000000"/>
        </w:rPr>
        <w:t>的</w:t>
      </w:r>
      <w:r>
        <w:rPr>
          <w:rFonts w:hint="eastAsia" w:ascii="宋体" w:hAnsi="宋体" w:cs="宋体"/>
          <w:color w:val="000000"/>
          <w:u w:val="single"/>
        </w:rPr>
        <w:t xml:space="preserve">                    项目</w:t>
      </w:r>
      <w:r>
        <w:rPr>
          <w:rFonts w:hint="eastAsia" w:ascii="宋体" w:hAnsi="宋体" w:cs="宋体"/>
          <w:color w:val="000000"/>
        </w:rPr>
        <w:t>的投标和签订合同，作为投标人代表以本单位的名义处理一切与之有关的事宜。</w:t>
      </w:r>
      <w:r>
        <w:rPr>
          <w:rFonts w:hint="eastAsia" w:ascii="宋体" w:hAnsi="宋体" w:cs="宋体"/>
          <w:color w:val="000000"/>
          <w:szCs w:val="21"/>
          <w:u w:val="single"/>
        </w:rPr>
        <w:t xml:space="preserve">           （</w:t>
      </w:r>
      <w:r>
        <w:rPr>
          <w:rFonts w:hint="eastAsia" w:ascii="宋体" w:hAnsi="宋体" w:cs="宋体"/>
          <w:color w:val="000000"/>
        </w:rPr>
        <w:t>授权代表姓名</w:t>
      </w:r>
      <w:r>
        <w:rPr>
          <w:rFonts w:hint="eastAsia" w:ascii="宋体" w:hAnsi="宋体" w:cs="宋体"/>
          <w:color w:val="000000"/>
          <w:szCs w:val="21"/>
        </w:rPr>
        <w:t xml:space="preserve">）以我单位名义所为的行为及签署的文件，我单位均予以认可。有关法律责任均由我单位承担。 </w:t>
      </w:r>
    </w:p>
    <w:p>
      <w:pPr>
        <w:spacing w:line="360" w:lineRule="auto"/>
        <w:ind w:left="2" w:firstLine="403" w:firstLineChars="192"/>
        <w:rPr>
          <w:rFonts w:ascii="宋体" w:hAnsi="宋体" w:cs="宋体"/>
          <w:color w:val="000000"/>
        </w:rPr>
      </w:pPr>
      <w:r>
        <w:rPr>
          <w:rFonts w:hint="eastAsia" w:ascii="宋体" w:hAnsi="宋体" w:cs="宋体"/>
          <w:color w:val="000000"/>
        </w:rPr>
        <w:t>代理人无转委权。</w:t>
      </w:r>
    </w:p>
    <w:p>
      <w:pPr>
        <w:spacing w:line="360" w:lineRule="auto"/>
        <w:ind w:left="2" w:firstLine="403" w:firstLineChars="192"/>
        <w:rPr>
          <w:rFonts w:ascii="宋体" w:hAnsi="宋体" w:cs="F14"/>
          <w:kern w:val="0"/>
          <w:szCs w:val="21"/>
        </w:rPr>
      </w:pPr>
      <w:r>
        <w:rPr>
          <w:rFonts w:hint="eastAsia" w:ascii="宋体" w:hAnsi="宋体" w:cs="F14"/>
          <w:kern w:val="0"/>
          <w:szCs w:val="21"/>
        </w:rPr>
        <w:t>本授权书有效期与本公司投标文件中标注的投标有效期相同，自签章之日起生效，特此声明。</w:t>
      </w:r>
    </w:p>
    <w:p>
      <w:pPr>
        <w:ind w:left="2" w:firstLine="403" w:firstLineChars="192"/>
        <w:rPr>
          <w:rFonts w:ascii="宋体" w:hAnsi="宋体"/>
        </w:rPr>
      </w:pPr>
    </w:p>
    <w:p>
      <w:pPr>
        <w:jc w:val="center"/>
        <w:rPr>
          <w:rFonts w:ascii="宋体" w:hAnsi="宋体"/>
          <w:b/>
          <w:sz w:val="24"/>
          <w:szCs w:val="24"/>
        </w:rPr>
      </w:pPr>
    </w:p>
    <w:p>
      <w:pPr>
        <w:rPr>
          <w:rFonts w:ascii="宋体" w:hAnsi="宋体"/>
        </w:rPr>
      </w:pPr>
      <w:r>
        <w:rPr>
          <w:rFonts w:hint="eastAsia" w:ascii="宋体" w:hAnsi="宋体"/>
        </w:rPr>
        <w:t>法定代表人（签字或盖章）：</w:t>
      </w:r>
    </w:p>
    <w:p>
      <w:pPr>
        <w:rPr>
          <w:rFonts w:ascii="宋体" w:hAnsi="宋体"/>
        </w:rPr>
      </w:pPr>
      <w:r>
        <w:rPr>
          <w:rFonts w:hint="eastAsia" w:ascii="宋体" w:hAnsi="宋体"/>
        </w:rPr>
        <w:t>职    务：</w:t>
      </w:r>
    </w:p>
    <w:p>
      <w:pPr>
        <w:rPr>
          <w:rFonts w:ascii="宋体" w:hAnsi="宋体"/>
        </w:rPr>
      </w:pPr>
    </w:p>
    <w:p>
      <w:pPr>
        <w:rPr>
          <w:rFonts w:ascii="宋体" w:hAnsi="宋体"/>
        </w:rPr>
      </w:pPr>
      <w:r>
        <w:rPr>
          <w:rFonts w:hint="eastAsia" w:ascii="宋体" w:hAnsi="宋体"/>
        </w:rPr>
        <w:t>投标人代表（授权代表）（签字或盖章）：</w:t>
      </w:r>
    </w:p>
    <w:p>
      <w:pPr>
        <w:rPr>
          <w:rFonts w:ascii="宋体" w:hAnsi="宋体"/>
        </w:rPr>
      </w:pPr>
      <w:r>
        <w:rPr>
          <w:rFonts w:hint="eastAsia" w:ascii="宋体" w:hAnsi="宋体"/>
        </w:rPr>
        <w:t>职    务：</w:t>
      </w:r>
    </w:p>
    <w:p>
      <w:pPr>
        <w:rPr>
          <w:rFonts w:ascii="宋体" w:hAnsi="宋体"/>
        </w:rPr>
      </w:pPr>
    </w:p>
    <w:p>
      <w:pPr>
        <w:rPr>
          <w:rFonts w:ascii="宋体" w:hAnsi="宋体"/>
        </w:rPr>
      </w:pPr>
    </w:p>
    <w:p>
      <w:pPr>
        <w:rPr>
          <w:rFonts w:ascii="宋体" w:hAnsi="宋体"/>
        </w:rPr>
      </w:pPr>
      <w:r>
        <w:rPr>
          <w:rFonts w:hint="eastAsia" w:ascii="宋体" w:hAnsi="宋体"/>
          <w:szCs w:val="21"/>
        </w:rPr>
        <w:t>投标人全称</w:t>
      </w:r>
      <w:r>
        <w:rPr>
          <w:rFonts w:hint="eastAsia" w:ascii="宋体" w:hAnsi="宋体"/>
        </w:rPr>
        <w:t>（盖公章）                             日  期：</w:t>
      </w:r>
    </w:p>
    <w:p>
      <w:pPr>
        <w:spacing w:line="360" w:lineRule="auto"/>
        <w:ind w:left="2" w:firstLine="403" w:firstLineChars="192"/>
        <w:rPr>
          <w:rFonts w:ascii="宋体" w:hAnsi="宋体"/>
        </w:rPr>
      </w:pPr>
    </w:p>
    <w:p>
      <w:pPr>
        <w:spacing w:line="300" w:lineRule="auto"/>
        <w:jc w:val="center"/>
        <w:rPr>
          <w:rFonts w:ascii="宋体" w:hAnsi="宋体"/>
          <w:b/>
          <w:sz w:val="24"/>
          <w:szCs w:val="24"/>
        </w:rPr>
      </w:pPr>
    </w:p>
    <w:tbl>
      <w:tblPr>
        <w:tblStyle w:val="44"/>
        <w:tblpPr w:leftFromText="180" w:rightFromText="180" w:vertAnchor="text" w:tblpXSpec="center" w:tblpY="61"/>
        <w:tblW w:w="7395"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7395"/>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180" w:hRule="atLeast"/>
        </w:trPr>
        <w:tc>
          <w:tcPr>
            <w:tcW w:w="7395" w:type="dxa"/>
            <w:noWrap/>
            <w:vAlign w:val="center"/>
          </w:tcPr>
          <w:p>
            <w:pPr>
              <w:keepNext w:val="0"/>
              <w:keepLines w:val="0"/>
              <w:suppressLineNumbers w:val="0"/>
              <w:spacing w:before="0" w:beforeAutospacing="0" w:after="0" w:afterAutospacing="0" w:line="360" w:lineRule="auto"/>
              <w:ind w:left="0" w:right="0"/>
              <w:jc w:val="center"/>
              <w:rPr>
                <w:rFonts w:ascii="宋体" w:hAnsi="宋体"/>
                <w:szCs w:val="22"/>
              </w:rPr>
            </w:pPr>
            <w:r>
              <w:rPr>
                <w:rFonts w:hint="eastAsia" w:ascii="宋体" w:hAnsi="宋体"/>
                <w:szCs w:val="22"/>
              </w:rPr>
              <w:t>投标人代表（授权代表）</w:t>
            </w:r>
          </w:p>
          <w:p>
            <w:pPr>
              <w:keepNext w:val="0"/>
              <w:keepLines w:val="0"/>
              <w:suppressLineNumbers w:val="0"/>
              <w:spacing w:before="0" w:beforeAutospacing="0" w:after="0" w:afterAutospacing="0" w:line="360" w:lineRule="auto"/>
              <w:ind w:left="0" w:right="0"/>
              <w:jc w:val="center"/>
              <w:rPr>
                <w:rFonts w:ascii="宋体" w:hAnsi="宋体"/>
                <w:szCs w:val="22"/>
              </w:rPr>
            </w:pPr>
            <w:r>
              <w:rPr>
                <w:rFonts w:hint="eastAsia" w:ascii="宋体" w:hAnsi="宋体"/>
                <w:szCs w:val="22"/>
              </w:rPr>
              <w:t>居民身份证复印件粘贴处（正、反面）</w:t>
            </w:r>
          </w:p>
        </w:tc>
      </w:tr>
    </w:tbl>
    <w:p>
      <w:pPr>
        <w:rPr>
          <w:rFonts w:ascii="宋体" w:hAnsi="宋体"/>
        </w:rPr>
      </w:pPr>
    </w:p>
    <w:p>
      <w:pPr>
        <w:rPr>
          <w:rFonts w:ascii="宋体" w:hAnsi="宋体"/>
          <w:b/>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line="360" w:lineRule="auto"/>
        <w:rPr>
          <w:rFonts w:ascii="宋体" w:hAnsi="宋体"/>
        </w:rPr>
      </w:pPr>
      <w:bookmarkStart w:id="61" w:name="_Hlt320264358"/>
      <w:bookmarkEnd w:id="61"/>
      <w:bookmarkStart w:id="62" w:name="_Toc399233867"/>
      <w:bookmarkStart w:id="63" w:name="_Toc398196957"/>
      <w:bookmarkStart w:id="64" w:name="_Toc402888895"/>
      <w:bookmarkStart w:id="65" w:name="_Toc398111574"/>
      <w:bookmarkStart w:id="66" w:name="_Toc398024661"/>
      <w:bookmarkStart w:id="67" w:name="_Toc402335427"/>
      <w:bookmarkStart w:id="68" w:name="_Toc399169334"/>
      <w:bookmarkStart w:id="69" w:name="_Toc398196986"/>
      <w:bookmarkStart w:id="70" w:name="_Toc402449383"/>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pageBreakBefore/>
        <w:spacing w:line="360" w:lineRule="auto"/>
        <w:rPr>
          <w:rFonts w:ascii="宋体" w:hAnsi="宋体"/>
          <w:b/>
        </w:rPr>
      </w:pPr>
      <w:r>
        <w:rPr>
          <w:rFonts w:hint="eastAsia" w:ascii="宋体" w:hAnsi="宋体"/>
          <w:b/>
        </w:rPr>
        <w:t>4．声明</w:t>
      </w:r>
      <w:bookmarkEnd w:id="62"/>
      <w:bookmarkEnd w:id="63"/>
      <w:bookmarkEnd w:id="64"/>
      <w:bookmarkEnd w:id="65"/>
      <w:bookmarkEnd w:id="66"/>
      <w:bookmarkEnd w:id="67"/>
      <w:bookmarkEnd w:id="68"/>
      <w:bookmarkEnd w:id="69"/>
      <w:bookmarkEnd w:id="70"/>
      <w:r>
        <w:rPr>
          <w:rFonts w:hint="eastAsia" w:ascii="宋体" w:hAnsi="宋体"/>
          <w:b/>
        </w:rPr>
        <w:t>函</w:t>
      </w:r>
    </w:p>
    <w:p>
      <w:pPr>
        <w:pStyle w:val="38"/>
        <w:spacing w:line="360" w:lineRule="auto"/>
        <w:jc w:val="center"/>
        <w:rPr>
          <w:rFonts w:ascii="宋体" w:hAnsi="宋体" w:eastAsia="宋体"/>
          <w:b/>
          <w:sz w:val="21"/>
        </w:rPr>
      </w:pPr>
    </w:p>
    <w:p>
      <w:pPr>
        <w:pStyle w:val="38"/>
        <w:spacing w:line="360" w:lineRule="auto"/>
        <w:jc w:val="center"/>
        <w:rPr>
          <w:rFonts w:ascii="宋体" w:hAnsi="宋体" w:eastAsia="宋体"/>
          <w:b/>
          <w:szCs w:val="28"/>
        </w:rPr>
      </w:pPr>
      <w:r>
        <w:rPr>
          <w:rFonts w:hint="eastAsia" w:ascii="宋体" w:hAnsi="宋体" w:eastAsia="宋体"/>
          <w:b/>
          <w:szCs w:val="28"/>
        </w:rPr>
        <w:t>声明函</w:t>
      </w:r>
    </w:p>
    <w:p>
      <w:pPr>
        <w:pStyle w:val="38"/>
        <w:spacing w:line="360" w:lineRule="auto"/>
        <w:rPr>
          <w:rFonts w:ascii="宋体" w:hAnsi="宋体" w:eastAsia="宋体"/>
          <w:sz w:val="21"/>
        </w:rPr>
      </w:pPr>
      <w:r>
        <w:rPr>
          <w:rFonts w:hint="eastAsia" w:ascii="宋体" w:hAnsi="宋体" w:eastAsia="宋体"/>
          <w:sz w:val="21"/>
        </w:rPr>
        <w:t>致：中曜招标股份有限公司：</w:t>
      </w:r>
    </w:p>
    <w:p>
      <w:pPr>
        <w:pStyle w:val="38"/>
        <w:spacing w:line="360" w:lineRule="auto"/>
        <w:rPr>
          <w:rFonts w:ascii="宋体" w:hAnsi="宋体" w:eastAsia="宋体"/>
          <w:sz w:val="21"/>
        </w:rPr>
      </w:pPr>
    </w:p>
    <w:p>
      <w:pPr>
        <w:spacing w:line="360" w:lineRule="auto"/>
        <w:ind w:firstLine="420" w:firstLineChars="200"/>
        <w:rPr>
          <w:rFonts w:ascii="宋体" w:hAnsi="宋体"/>
        </w:rPr>
      </w:pPr>
      <w:r>
        <w:rPr>
          <w:rFonts w:hint="eastAsia" w:ascii="宋体" w:hAnsi="宋体"/>
        </w:rPr>
        <w:t>关于贵方</w:t>
      </w:r>
      <w:r>
        <w:rPr>
          <w:rFonts w:hint="eastAsia" w:ascii="宋体" w:hAnsi="宋体"/>
          <w:u w:val="single"/>
        </w:rPr>
        <w:t xml:space="preserve">                          项目</w:t>
      </w:r>
      <w:r>
        <w:rPr>
          <w:rFonts w:hint="eastAsia" w:ascii="宋体" w:hAnsi="宋体"/>
        </w:rPr>
        <w:t>（</w:t>
      </w:r>
      <w:r>
        <w:rPr>
          <w:rFonts w:hint="eastAsia" w:ascii="宋体" w:hAnsi="宋体"/>
          <w:u w:val="single"/>
        </w:rPr>
        <w:t xml:space="preserve">项目编号         </w:t>
      </w:r>
      <w:r>
        <w:rPr>
          <w:rFonts w:hint="eastAsia" w:ascii="宋体" w:hAnsi="宋体"/>
        </w:rPr>
        <w:t>）的采购公告，我单位愿意参加投标，并声明：</w:t>
      </w:r>
    </w:p>
    <w:p>
      <w:pPr>
        <w:autoSpaceDE w:val="0"/>
        <w:autoSpaceDN w:val="0"/>
        <w:spacing w:line="360" w:lineRule="auto"/>
        <w:ind w:firstLine="420" w:firstLineChars="200"/>
        <w:rPr>
          <w:rFonts w:ascii="宋体" w:hAnsi="宋体"/>
          <w:szCs w:val="21"/>
        </w:rPr>
      </w:pPr>
      <w:r>
        <w:rPr>
          <w:rFonts w:hint="eastAsia" w:ascii="宋体" w:hAnsi="宋体"/>
          <w:szCs w:val="21"/>
        </w:rPr>
        <w:t>1.我公司具有独立承担民事责任的能力；</w:t>
      </w:r>
    </w:p>
    <w:p>
      <w:pPr>
        <w:autoSpaceDE w:val="0"/>
        <w:autoSpaceDN w:val="0"/>
        <w:spacing w:line="360" w:lineRule="auto"/>
        <w:ind w:firstLine="420" w:firstLineChars="200"/>
        <w:rPr>
          <w:rFonts w:ascii="宋体" w:hAnsi="宋体"/>
          <w:szCs w:val="21"/>
        </w:rPr>
      </w:pPr>
      <w:r>
        <w:rPr>
          <w:rFonts w:hint="eastAsia" w:ascii="宋体" w:hAnsi="宋体"/>
          <w:szCs w:val="21"/>
        </w:rPr>
        <w:t>2.我公司具有良好的商业信誉和健全的财务会计制度；</w:t>
      </w:r>
    </w:p>
    <w:p>
      <w:pPr>
        <w:autoSpaceDE w:val="0"/>
        <w:autoSpaceDN w:val="0"/>
        <w:spacing w:line="360" w:lineRule="auto"/>
        <w:ind w:firstLine="420" w:firstLineChars="200"/>
        <w:rPr>
          <w:rFonts w:ascii="宋体" w:hAnsi="宋体"/>
          <w:szCs w:val="21"/>
        </w:rPr>
      </w:pPr>
      <w:r>
        <w:rPr>
          <w:rFonts w:hint="eastAsia" w:ascii="宋体" w:hAnsi="宋体"/>
          <w:szCs w:val="21"/>
        </w:rPr>
        <w:t>3.我公司具有履行合同所必需的设备和专业技术能力；</w:t>
      </w:r>
    </w:p>
    <w:p>
      <w:pPr>
        <w:autoSpaceDE w:val="0"/>
        <w:autoSpaceDN w:val="0"/>
        <w:spacing w:line="360" w:lineRule="auto"/>
        <w:ind w:firstLine="420" w:firstLineChars="200"/>
        <w:rPr>
          <w:rFonts w:ascii="宋体" w:hAnsi="宋体"/>
          <w:szCs w:val="21"/>
        </w:rPr>
      </w:pPr>
      <w:r>
        <w:rPr>
          <w:rFonts w:hint="eastAsia" w:ascii="宋体" w:hAnsi="宋体"/>
          <w:szCs w:val="21"/>
        </w:rPr>
        <w:t>4.我公司有依法缴纳税收和社会保障资金的良好记录；</w:t>
      </w:r>
    </w:p>
    <w:p>
      <w:pPr>
        <w:autoSpaceDE w:val="0"/>
        <w:autoSpaceDN w:val="0"/>
        <w:spacing w:line="360" w:lineRule="auto"/>
        <w:ind w:firstLine="420" w:firstLineChars="200"/>
        <w:rPr>
          <w:rFonts w:ascii="宋体" w:hAnsi="宋体"/>
          <w:szCs w:val="21"/>
        </w:rPr>
      </w:pPr>
      <w:r>
        <w:rPr>
          <w:rFonts w:hint="eastAsia" w:ascii="宋体" w:hAnsi="宋体"/>
          <w:szCs w:val="21"/>
        </w:rPr>
        <w:t>5.我公司参加招标活动前三年内，在经营活动中没有重大违法记录；</w:t>
      </w:r>
    </w:p>
    <w:p>
      <w:pPr>
        <w:autoSpaceDE w:val="0"/>
        <w:autoSpaceDN w:val="0"/>
        <w:spacing w:line="360" w:lineRule="auto"/>
        <w:ind w:firstLine="420" w:firstLineChars="200"/>
        <w:rPr>
          <w:rFonts w:ascii="宋体" w:hAnsi="宋体"/>
          <w:szCs w:val="21"/>
        </w:rPr>
      </w:pPr>
      <w:r>
        <w:rPr>
          <w:rFonts w:hint="eastAsia" w:ascii="宋体" w:hAnsi="宋体"/>
          <w:szCs w:val="21"/>
        </w:rPr>
        <w:t>6.我公司符合法律、行政法规规定的其他条件。</w:t>
      </w:r>
    </w:p>
    <w:p>
      <w:pPr>
        <w:pStyle w:val="22"/>
        <w:spacing w:line="360" w:lineRule="auto"/>
        <w:ind w:firstLine="400" w:firstLineChars="200"/>
        <w:rPr>
          <w:rFonts w:hAnsi="宋体"/>
          <w:szCs w:val="21"/>
        </w:rPr>
      </w:pPr>
      <w:r>
        <w:rPr>
          <w:rFonts w:hAnsi="宋体"/>
          <w:szCs w:val="21"/>
        </w:rPr>
        <w:t>特此</w:t>
      </w:r>
      <w:r>
        <w:rPr>
          <w:rFonts w:hint="eastAsia" w:hAnsi="宋体"/>
          <w:szCs w:val="21"/>
        </w:rPr>
        <w:t>声明</w:t>
      </w:r>
      <w:r>
        <w:rPr>
          <w:rFonts w:hAnsi="宋体"/>
          <w:szCs w:val="21"/>
        </w:rPr>
        <w:t>！</w:t>
      </w:r>
    </w:p>
    <w:p>
      <w:pPr>
        <w:spacing w:line="360" w:lineRule="auto"/>
        <w:ind w:firstLine="422" w:firstLineChars="200"/>
        <w:rPr>
          <w:rFonts w:ascii="宋体" w:hAnsi="宋体"/>
          <w:b/>
        </w:rPr>
      </w:pPr>
      <w:r>
        <w:rPr>
          <w:rFonts w:hint="eastAsia" w:ascii="宋体" w:hAnsi="宋体"/>
          <w:b/>
        </w:rPr>
        <w:t>附件：</w:t>
      </w:r>
    </w:p>
    <w:p>
      <w:pPr>
        <w:widowControl/>
        <w:spacing w:line="360" w:lineRule="auto"/>
        <w:ind w:firstLine="422" w:firstLineChars="200"/>
        <w:rPr>
          <w:rFonts w:ascii="宋体" w:hAnsi="宋体" w:cs="F14"/>
          <w:kern w:val="0"/>
          <w:szCs w:val="21"/>
        </w:rPr>
      </w:pPr>
      <w:r>
        <w:rPr>
          <w:rFonts w:hint="eastAsia" w:ascii="宋体" w:hAnsi="宋体" w:cs="F14"/>
          <w:b/>
          <w:kern w:val="0"/>
          <w:szCs w:val="21"/>
        </w:rPr>
        <w:t>附件1</w:t>
      </w:r>
      <w:r>
        <w:rPr>
          <w:rFonts w:hint="eastAsia" w:ascii="宋体" w:hAnsi="宋体" w:cs="F14"/>
          <w:kern w:val="0"/>
          <w:szCs w:val="21"/>
        </w:rPr>
        <w:t xml:space="preserve">  有效的营业执照副本或事业单位法人证书或其他组织证明复印件；</w:t>
      </w:r>
    </w:p>
    <w:p>
      <w:pPr>
        <w:widowControl/>
        <w:spacing w:line="360" w:lineRule="auto"/>
        <w:ind w:firstLine="422" w:firstLineChars="200"/>
        <w:rPr>
          <w:rFonts w:ascii="宋体" w:hAnsi="宋体" w:cs="F14"/>
          <w:kern w:val="0"/>
          <w:szCs w:val="21"/>
        </w:rPr>
      </w:pPr>
      <w:r>
        <w:rPr>
          <w:rFonts w:hint="eastAsia" w:ascii="宋体" w:hAnsi="宋体" w:cs="F14"/>
          <w:b/>
          <w:kern w:val="0"/>
          <w:szCs w:val="21"/>
        </w:rPr>
        <w:t>附件2</w:t>
      </w:r>
      <w:r>
        <w:rPr>
          <w:rFonts w:hint="eastAsia" w:ascii="宋体" w:hAnsi="宋体" w:cs="F14"/>
          <w:kern w:val="0"/>
          <w:szCs w:val="21"/>
        </w:rPr>
        <w:t xml:space="preserve">  企业社保证明、纳税证明、报表复印件；</w:t>
      </w:r>
    </w:p>
    <w:p>
      <w:pPr>
        <w:widowControl/>
        <w:spacing w:line="360" w:lineRule="auto"/>
        <w:ind w:firstLine="422" w:firstLineChars="200"/>
        <w:rPr>
          <w:rFonts w:ascii="宋体" w:hAnsi="宋体" w:cs="F14"/>
          <w:kern w:val="0"/>
          <w:szCs w:val="21"/>
        </w:rPr>
      </w:pPr>
      <w:r>
        <w:rPr>
          <w:rFonts w:hint="eastAsia" w:ascii="宋体" w:hAnsi="宋体"/>
          <w:b/>
          <w:szCs w:val="21"/>
        </w:rPr>
        <w:t>附件3</w:t>
      </w:r>
      <w:r>
        <w:rPr>
          <w:rFonts w:hint="eastAsia" w:ascii="宋体" w:hAnsi="宋体"/>
          <w:szCs w:val="21"/>
        </w:rPr>
        <w:t xml:space="preserve">  根据“投标人资格要求”</w:t>
      </w:r>
      <w:r>
        <w:rPr>
          <w:rFonts w:hint="eastAsia" w:ascii="宋体" w:hAnsi="宋体"/>
        </w:rPr>
        <w:t>提交的其他证明文件</w:t>
      </w:r>
      <w:r>
        <w:rPr>
          <w:rFonts w:hint="eastAsia" w:ascii="宋体" w:hAnsi="宋体" w:cs="F14"/>
          <w:kern w:val="0"/>
          <w:szCs w:val="21"/>
        </w:rPr>
        <w:t>（如有）</w:t>
      </w:r>
    </w:p>
    <w:p>
      <w:pPr>
        <w:spacing w:line="360" w:lineRule="auto"/>
        <w:ind w:firstLine="422" w:firstLineChars="200"/>
        <w:rPr>
          <w:rFonts w:ascii="宋体" w:hAnsi="宋体" w:cs="F14"/>
          <w:kern w:val="0"/>
          <w:szCs w:val="21"/>
        </w:rPr>
      </w:pPr>
      <w:r>
        <w:rPr>
          <w:rFonts w:hint="eastAsia" w:ascii="宋体" w:hAnsi="宋体" w:cs="F14"/>
          <w:b/>
          <w:kern w:val="0"/>
          <w:szCs w:val="21"/>
        </w:rPr>
        <w:t>附件4</w:t>
      </w:r>
      <w:r>
        <w:rPr>
          <w:rFonts w:hint="eastAsia" w:ascii="宋体" w:hAnsi="宋体" w:cs="F14"/>
          <w:kern w:val="0"/>
          <w:szCs w:val="21"/>
        </w:rPr>
        <w:t xml:space="preserve">  投标人企业资质、履约能力、企业信誉证明资料复印件（如有）；</w:t>
      </w:r>
    </w:p>
    <w:p>
      <w:pPr>
        <w:spacing w:line="360" w:lineRule="auto"/>
        <w:ind w:firstLine="422" w:firstLineChars="200"/>
        <w:rPr>
          <w:rFonts w:ascii="宋体" w:hAnsi="宋体" w:cs="F14"/>
          <w:kern w:val="0"/>
          <w:szCs w:val="21"/>
        </w:rPr>
      </w:pPr>
      <w:r>
        <w:rPr>
          <w:rFonts w:hint="eastAsia" w:ascii="宋体" w:hAnsi="宋体" w:cs="F14"/>
          <w:b/>
          <w:kern w:val="0"/>
          <w:szCs w:val="21"/>
        </w:rPr>
        <w:t>附件5</w:t>
      </w:r>
      <w:r>
        <w:rPr>
          <w:rFonts w:hint="eastAsia" w:ascii="宋体" w:hAnsi="宋体" w:cs="F14"/>
          <w:kern w:val="0"/>
          <w:szCs w:val="21"/>
        </w:rPr>
        <w:t xml:space="preserve">  投标人认为必要的其他文件。</w:t>
      </w:r>
    </w:p>
    <w:p>
      <w:pPr>
        <w:tabs>
          <w:tab w:val="left" w:pos="7980"/>
        </w:tabs>
        <w:spacing w:line="360" w:lineRule="auto"/>
        <w:ind w:firstLine="420" w:firstLineChars="200"/>
        <w:rPr>
          <w:rFonts w:ascii="宋体" w:hAnsi="宋体" w:cs="F14"/>
          <w:kern w:val="0"/>
          <w:szCs w:val="21"/>
        </w:rPr>
      </w:pPr>
      <w:r>
        <w:rPr>
          <w:rFonts w:hint="eastAsia" w:ascii="宋体" w:hAnsi="宋体" w:cs="F14"/>
          <w:kern w:val="0"/>
          <w:szCs w:val="21"/>
        </w:rPr>
        <w:t>注：相关证明文件附后，所有资料都必须加盖投标人公章</w:t>
      </w:r>
    </w:p>
    <w:p>
      <w:pPr>
        <w:widowControl/>
        <w:spacing w:line="360" w:lineRule="auto"/>
        <w:rPr>
          <w:rFonts w:ascii="宋体" w:hAnsi="宋体"/>
        </w:rPr>
      </w:pPr>
    </w:p>
    <w:p>
      <w:pPr>
        <w:widowControl/>
        <w:spacing w:line="360" w:lineRule="auto"/>
        <w:rPr>
          <w:rFonts w:ascii="宋体" w:hAnsi="宋体"/>
        </w:rPr>
      </w:pPr>
      <w:r>
        <w:rPr>
          <w:rFonts w:hint="eastAsia" w:ascii="宋体" w:hAnsi="宋体"/>
        </w:rPr>
        <w:t xml:space="preserve">    特此声明！</w:t>
      </w:r>
    </w:p>
    <w:p>
      <w:pPr>
        <w:widowControl/>
        <w:spacing w:line="360" w:lineRule="auto"/>
        <w:rPr>
          <w:rFonts w:ascii="宋体" w:hAnsi="宋体"/>
        </w:rPr>
      </w:pPr>
    </w:p>
    <w:p>
      <w:pPr>
        <w:spacing w:line="360" w:lineRule="auto"/>
        <w:ind w:firstLine="3885" w:firstLineChars="1850"/>
        <w:rPr>
          <w:rFonts w:ascii="宋体" w:hAnsi="宋体"/>
          <w:szCs w:val="21"/>
        </w:rPr>
      </w:pPr>
      <w:r>
        <w:rPr>
          <w:rFonts w:hint="eastAsia" w:ascii="宋体" w:hAnsi="宋体"/>
          <w:szCs w:val="21"/>
        </w:rPr>
        <w:t>投标人全称（盖公章）：</w:t>
      </w:r>
    </w:p>
    <w:p>
      <w:pPr>
        <w:spacing w:line="360" w:lineRule="auto"/>
        <w:ind w:left="3885" w:leftChars="200" w:hanging="3465" w:hangingChars="1650"/>
        <w:rPr>
          <w:rFonts w:ascii="宋体" w:hAnsi="宋体"/>
        </w:rPr>
      </w:pPr>
      <w:r>
        <w:rPr>
          <w:rFonts w:hint="eastAsia" w:ascii="宋体" w:hAnsi="宋体"/>
        </w:rPr>
        <w:t xml:space="preserve">                                 法定代表人或授权代表（签字或盖章）：</w:t>
      </w:r>
    </w:p>
    <w:p>
      <w:pPr>
        <w:spacing w:afterLines="3000" w:line="360" w:lineRule="auto"/>
        <w:ind w:left="3885" w:leftChars="200" w:hanging="3465" w:hangingChars="1650"/>
        <w:rPr>
          <w:rFonts w:ascii="宋体" w:hAnsi="宋体"/>
        </w:rPr>
      </w:pPr>
      <w:r>
        <w:rPr>
          <w:rFonts w:hint="eastAsia" w:ascii="宋体" w:hAnsi="宋体"/>
        </w:rPr>
        <w:t xml:space="preserve">                                 日       期：</w:t>
      </w:r>
    </w:p>
    <w:p>
      <w:pPr>
        <w:pageBreakBefore/>
        <w:tabs>
          <w:tab w:val="left" w:pos="7980"/>
        </w:tabs>
        <w:jc w:val="left"/>
        <w:rPr>
          <w:rFonts w:ascii="宋体" w:hAnsi="宋体"/>
          <w:b/>
        </w:rPr>
      </w:pPr>
      <w:bookmarkStart w:id="71" w:name="_Toc398024675"/>
      <w:bookmarkStart w:id="72" w:name="_Toc398196993"/>
      <w:bookmarkStart w:id="73" w:name="_Toc399169333"/>
      <w:bookmarkStart w:id="74" w:name="_Toc398196985"/>
      <w:bookmarkStart w:id="75" w:name="_Toc398196987"/>
      <w:bookmarkStart w:id="76" w:name="_Toc402449382"/>
      <w:bookmarkStart w:id="77" w:name="_Toc313003251"/>
      <w:bookmarkStart w:id="78" w:name="_Toc402335426"/>
      <w:bookmarkStart w:id="79" w:name="_Toc316568814"/>
      <w:bookmarkStart w:id="80" w:name="_Toc398111581"/>
      <w:bookmarkStart w:id="81" w:name="_Toc402449384"/>
      <w:bookmarkStart w:id="82" w:name="_Toc398024662"/>
      <w:bookmarkStart w:id="83" w:name="_Toc402888896"/>
      <w:bookmarkStart w:id="84" w:name="_Toc402888894"/>
      <w:bookmarkStart w:id="85" w:name="_Toc398196964"/>
      <w:bookmarkStart w:id="86" w:name="_Toc399233868"/>
      <w:bookmarkStart w:id="87" w:name="_Toc398111573"/>
      <w:bookmarkStart w:id="88" w:name="_Toc399169335"/>
      <w:bookmarkStart w:id="89" w:name="_Toc398024660"/>
      <w:bookmarkStart w:id="90" w:name="_Toc399233877"/>
      <w:bookmarkStart w:id="91" w:name="_Toc399169342"/>
      <w:bookmarkStart w:id="92" w:name="_Toc398111575"/>
      <w:bookmarkStart w:id="93" w:name="_Toc398196958"/>
      <w:bookmarkStart w:id="94" w:name="_Toc399233866"/>
      <w:bookmarkStart w:id="95" w:name="_Toc398196956"/>
      <w:bookmarkStart w:id="96" w:name="_Toc402335428"/>
      <w:r>
        <w:rPr>
          <w:rFonts w:hint="eastAsia" w:ascii="宋体" w:hAnsi="宋体"/>
          <w:b/>
        </w:rPr>
        <w:t>5.实质性指标响应表</w:t>
      </w:r>
    </w:p>
    <w:p/>
    <w:p>
      <w:pPr>
        <w:jc w:val="center"/>
        <w:rPr>
          <w:rFonts w:ascii="宋体" w:hAnsi="宋体"/>
          <w:b/>
          <w:sz w:val="28"/>
          <w:szCs w:val="28"/>
        </w:rPr>
      </w:pPr>
      <w:r>
        <w:rPr>
          <w:rFonts w:hint="eastAsia" w:ascii="宋体" w:hAnsi="宋体"/>
          <w:b/>
          <w:sz w:val="28"/>
          <w:szCs w:val="28"/>
        </w:rPr>
        <w:t>实质性指标响应表</w:t>
      </w:r>
    </w:p>
    <w:p>
      <w:pPr>
        <w:ind w:firstLine="105" w:firstLineChars="50"/>
        <w:rPr>
          <w:rFonts w:ascii="宋体" w:hAnsi="宋体"/>
          <w:szCs w:val="21"/>
        </w:rPr>
      </w:pPr>
      <w:r>
        <w:rPr>
          <w:rFonts w:hint="eastAsia" w:ascii="宋体" w:hAnsi="宋体"/>
          <w:szCs w:val="21"/>
        </w:rPr>
        <w:t>项目名称：</w:t>
      </w:r>
    </w:p>
    <w:tbl>
      <w:tblPr>
        <w:tblStyle w:val="44"/>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581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51" w:type="dxa"/>
            <w:noWrap/>
            <w:vAlign w:val="center"/>
          </w:tcPr>
          <w:p>
            <w:pPr>
              <w:keepNext w:val="0"/>
              <w:keepLines w:val="0"/>
              <w:suppressLineNumbers w:val="0"/>
              <w:spacing w:before="0" w:beforeAutospacing="0" w:after="0" w:afterAutospacing="0"/>
              <w:ind w:left="0" w:right="0"/>
              <w:jc w:val="center"/>
              <w:rPr>
                <w:rFonts w:ascii="宋体" w:hAnsi="宋体" w:cs="Arial"/>
                <w:b/>
                <w:szCs w:val="21"/>
              </w:rPr>
            </w:pPr>
            <w:bookmarkStart w:id="97" w:name="ImpSpec"/>
            <w:r>
              <w:rPr>
                <w:rFonts w:hint="eastAsia" w:ascii="宋体" w:hAnsi="宋体" w:cs="Arial"/>
                <w:b/>
                <w:szCs w:val="21"/>
              </w:rPr>
              <w:t>序号</w:t>
            </w:r>
          </w:p>
        </w:tc>
        <w:tc>
          <w:tcPr>
            <w:tcW w:w="5811" w:type="dxa"/>
            <w:noWrap/>
            <w:vAlign w:val="center"/>
          </w:tcPr>
          <w:p>
            <w:pPr>
              <w:keepNext w:val="0"/>
              <w:keepLines w:val="0"/>
              <w:suppressLineNumbers w:val="0"/>
              <w:spacing w:before="0" w:beforeAutospacing="0" w:after="0" w:afterAutospacing="0"/>
              <w:ind w:left="0" w:right="0"/>
              <w:jc w:val="center"/>
              <w:rPr>
                <w:rFonts w:ascii="宋体" w:hAnsi="宋体" w:cs="Arial"/>
                <w:b/>
                <w:szCs w:val="21"/>
              </w:rPr>
            </w:pPr>
            <w:r>
              <w:rPr>
                <w:rFonts w:hint="eastAsia" w:ascii="宋体" w:hAnsi="宋体" w:cs="Arial"/>
                <w:b/>
                <w:szCs w:val="21"/>
              </w:rPr>
              <w:t>招标文件内容提要</w:t>
            </w:r>
          </w:p>
        </w:tc>
        <w:tc>
          <w:tcPr>
            <w:tcW w:w="2268" w:type="dxa"/>
            <w:noWrap/>
            <w:vAlign w:val="center"/>
          </w:tcPr>
          <w:p>
            <w:pPr>
              <w:keepNext w:val="0"/>
              <w:keepLines w:val="0"/>
              <w:suppressLineNumbers w:val="0"/>
              <w:spacing w:before="0" w:beforeAutospacing="0" w:after="0" w:afterAutospacing="0"/>
              <w:ind w:left="0" w:right="0"/>
              <w:jc w:val="center"/>
              <w:rPr>
                <w:rFonts w:ascii="宋体" w:hAnsi="宋体" w:cs="Arial"/>
                <w:b/>
                <w:szCs w:val="21"/>
              </w:rPr>
            </w:pPr>
            <w:r>
              <w:rPr>
                <w:rFonts w:hint="eastAsia" w:ascii="宋体" w:hAnsi="宋体" w:cs="Arial"/>
                <w:b/>
                <w:szCs w:val="21"/>
              </w:rPr>
              <w:t>投标文件响应章节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51" w:type="dxa"/>
            <w:noWrap/>
            <w:vAlign w:val="center"/>
          </w:tcPr>
          <w:p>
            <w:pPr>
              <w:keepNext w:val="0"/>
              <w:keepLines w:val="0"/>
              <w:suppressLineNumbers w:val="0"/>
              <w:spacing w:before="0" w:beforeAutospacing="0" w:after="0" w:afterAutospacing="0"/>
              <w:ind w:left="0" w:right="0"/>
              <w:jc w:val="center"/>
              <w:rPr>
                <w:rFonts w:ascii="宋体" w:hAnsi="宋体" w:cs="Arial"/>
                <w:szCs w:val="21"/>
              </w:rPr>
            </w:pPr>
            <w:r>
              <w:rPr>
                <w:rFonts w:hint="eastAsia" w:ascii="宋体" w:hAnsi="宋体" w:cs="Arial"/>
                <w:szCs w:val="21"/>
              </w:rPr>
              <w:t>1</w:t>
            </w:r>
          </w:p>
        </w:tc>
        <w:tc>
          <w:tcPr>
            <w:tcW w:w="5811" w:type="dxa"/>
            <w:noWrap/>
            <w:vAlign w:val="center"/>
          </w:tcPr>
          <w:p>
            <w:pPr>
              <w:keepNext w:val="0"/>
              <w:keepLines w:val="0"/>
              <w:suppressLineNumbers w:val="0"/>
              <w:spacing w:before="0" w:beforeAutospacing="0" w:after="0" w:afterAutospacing="0"/>
              <w:ind w:left="0" w:right="0"/>
              <w:rPr>
                <w:rFonts w:ascii="宋体" w:hAnsi="宋体" w:cs="Arial"/>
                <w:szCs w:val="21"/>
              </w:rPr>
            </w:pPr>
          </w:p>
        </w:tc>
        <w:tc>
          <w:tcPr>
            <w:tcW w:w="2268" w:type="dxa"/>
            <w:noWrap/>
            <w:vAlign w:val="center"/>
          </w:tcPr>
          <w:p>
            <w:pPr>
              <w:keepNext w:val="0"/>
              <w:keepLines w:val="0"/>
              <w:suppressLineNumbers w:val="0"/>
              <w:spacing w:before="0" w:beforeAutospacing="0" w:after="0" w:afterAutospacing="0"/>
              <w:ind w:left="0" w:right="0"/>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51" w:type="dxa"/>
            <w:noWrap/>
            <w:vAlign w:val="center"/>
          </w:tcPr>
          <w:p>
            <w:pPr>
              <w:keepNext w:val="0"/>
              <w:keepLines w:val="0"/>
              <w:suppressLineNumbers w:val="0"/>
              <w:spacing w:before="0" w:beforeAutospacing="0" w:after="0" w:afterAutospacing="0"/>
              <w:ind w:left="0" w:right="0"/>
              <w:jc w:val="center"/>
              <w:rPr>
                <w:rFonts w:ascii="宋体" w:hAnsi="宋体" w:cs="Arial"/>
                <w:szCs w:val="21"/>
              </w:rPr>
            </w:pPr>
            <w:r>
              <w:rPr>
                <w:rFonts w:hint="eastAsia" w:ascii="宋体" w:hAnsi="宋体" w:cs="Arial"/>
                <w:szCs w:val="21"/>
              </w:rPr>
              <w:t>2</w:t>
            </w:r>
          </w:p>
        </w:tc>
        <w:tc>
          <w:tcPr>
            <w:tcW w:w="5811" w:type="dxa"/>
            <w:noWrap/>
            <w:vAlign w:val="center"/>
          </w:tcPr>
          <w:p>
            <w:pPr>
              <w:keepNext w:val="0"/>
              <w:keepLines w:val="0"/>
              <w:suppressLineNumbers w:val="0"/>
              <w:spacing w:before="0" w:beforeAutospacing="0" w:after="0" w:afterAutospacing="0"/>
              <w:ind w:left="0" w:right="0"/>
              <w:outlineLvl w:val="3"/>
              <w:rPr>
                <w:rFonts w:ascii="宋体" w:hAnsi="宋体"/>
                <w:szCs w:val="21"/>
                <w:lang w:val="en-GB"/>
              </w:rPr>
            </w:pPr>
          </w:p>
        </w:tc>
        <w:tc>
          <w:tcPr>
            <w:tcW w:w="2268" w:type="dxa"/>
            <w:noWrap/>
            <w:vAlign w:val="center"/>
          </w:tcPr>
          <w:p>
            <w:pPr>
              <w:keepNext w:val="0"/>
              <w:keepLines w:val="0"/>
              <w:suppressLineNumbers w:val="0"/>
              <w:spacing w:before="0" w:beforeAutospacing="0" w:after="0" w:afterAutospacing="0"/>
              <w:ind w:left="0" w:right="0"/>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51" w:type="dxa"/>
            <w:noWrap/>
            <w:vAlign w:val="center"/>
          </w:tcPr>
          <w:p>
            <w:pPr>
              <w:keepNext w:val="0"/>
              <w:keepLines w:val="0"/>
              <w:suppressLineNumbers w:val="0"/>
              <w:spacing w:before="0" w:beforeAutospacing="0" w:after="0" w:afterAutospacing="0"/>
              <w:ind w:left="0" w:right="0"/>
              <w:jc w:val="center"/>
              <w:rPr>
                <w:rFonts w:ascii="宋体" w:hAnsi="宋体" w:cs="Arial"/>
                <w:szCs w:val="21"/>
              </w:rPr>
            </w:pPr>
            <w:r>
              <w:rPr>
                <w:rFonts w:hint="eastAsia" w:ascii="宋体" w:hAnsi="宋体" w:cs="Arial"/>
                <w:szCs w:val="21"/>
              </w:rPr>
              <w:t>3</w:t>
            </w:r>
          </w:p>
        </w:tc>
        <w:tc>
          <w:tcPr>
            <w:tcW w:w="5811" w:type="dxa"/>
            <w:noWrap/>
            <w:vAlign w:val="center"/>
          </w:tcPr>
          <w:p>
            <w:pPr>
              <w:keepNext w:val="0"/>
              <w:keepLines w:val="0"/>
              <w:suppressLineNumbers w:val="0"/>
              <w:spacing w:before="0" w:beforeAutospacing="0" w:after="0" w:afterAutospacing="0"/>
              <w:ind w:left="0" w:right="0"/>
              <w:rPr>
                <w:rFonts w:ascii="宋体" w:hAnsi="宋体" w:cs="Arial"/>
                <w:szCs w:val="21"/>
              </w:rPr>
            </w:pPr>
          </w:p>
        </w:tc>
        <w:tc>
          <w:tcPr>
            <w:tcW w:w="2268" w:type="dxa"/>
            <w:noWrap/>
            <w:vAlign w:val="center"/>
          </w:tcPr>
          <w:p>
            <w:pPr>
              <w:keepNext w:val="0"/>
              <w:keepLines w:val="0"/>
              <w:suppressLineNumbers w:val="0"/>
              <w:spacing w:before="0" w:beforeAutospacing="0" w:after="0" w:afterAutospacing="0"/>
              <w:ind w:left="0" w:right="0"/>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51" w:type="dxa"/>
            <w:noWrap/>
            <w:vAlign w:val="center"/>
          </w:tcPr>
          <w:p>
            <w:pPr>
              <w:keepNext w:val="0"/>
              <w:keepLines w:val="0"/>
              <w:suppressLineNumbers w:val="0"/>
              <w:spacing w:before="0" w:beforeAutospacing="0" w:after="0" w:afterAutospacing="0"/>
              <w:ind w:left="0" w:right="0"/>
              <w:jc w:val="center"/>
              <w:rPr>
                <w:rFonts w:ascii="宋体" w:hAnsi="宋体" w:cs="Arial"/>
                <w:szCs w:val="21"/>
              </w:rPr>
            </w:pPr>
            <w:r>
              <w:rPr>
                <w:rFonts w:hint="eastAsia" w:ascii="宋体" w:hAnsi="宋体" w:cs="Arial"/>
                <w:szCs w:val="21"/>
              </w:rPr>
              <w:t>4</w:t>
            </w:r>
          </w:p>
        </w:tc>
        <w:tc>
          <w:tcPr>
            <w:tcW w:w="5811" w:type="dxa"/>
            <w:noWrap/>
            <w:vAlign w:val="center"/>
          </w:tcPr>
          <w:p>
            <w:pPr>
              <w:keepNext w:val="0"/>
              <w:keepLines w:val="0"/>
              <w:suppressLineNumbers w:val="0"/>
              <w:spacing w:before="0" w:beforeAutospacing="0" w:after="0" w:afterAutospacing="0"/>
              <w:ind w:left="0" w:right="0"/>
              <w:rPr>
                <w:rFonts w:ascii="宋体" w:hAnsi="宋体"/>
                <w:szCs w:val="21"/>
              </w:rPr>
            </w:pPr>
          </w:p>
        </w:tc>
        <w:tc>
          <w:tcPr>
            <w:tcW w:w="2268" w:type="dxa"/>
            <w:noWrap/>
            <w:vAlign w:val="center"/>
          </w:tcPr>
          <w:p>
            <w:pPr>
              <w:keepNext w:val="0"/>
              <w:keepLines w:val="0"/>
              <w:suppressLineNumbers w:val="0"/>
              <w:spacing w:before="0" w:beforeAutospacing="0" w:after="0" w:afterAutospacing="0"/>
              <w:ind w:left="0" w:right="0"/>
              <w:jc w:val="center"/>
              <w:rPr>
                <w:rFonts w:ascii="宋体" w:hAnsi="宋体" w:cs="Arial"/>
                <w:szCs w:val="21"/>
              </w:rPr>
            </w:pPr>
          </w:p>
        </w:tc>
      </w:tr>
      <w:bookmarkEnd w:id="97"/>
    </w:tbl>
    <w:p>
      <w:pPr>
        <w:ind w:right="-170" w:rightChars="-81"/>
        <w:rPr>
          <w:rFonts w:ascii="宋体" w:hAnsi="宋体" w:cs="Arial"/>
          <w:szCs w:val="21"/>
        </w:rPr>
      </w:pPr>
      <w:r>
        <w:rPr>
          <w:rFonts w:hint="eastAsia" w:ascii="宋体" w:hAnsi="宋体" w:cs="Arial"/>
          <w:szCs w:val="21"/>
        </w:rPr>
        <w:t>注：</w:t>
      </w:r>
    </w:p>
    <w:p>
      <w:pPr>
        <w:ind w:right="-170" w:rightChars="-81" w:firstLine="354" w:firstLineChars="169"/>
        <w:rPr>
          <w:rFonts w:ascii="宋体" w:hAnsi="宋体"/>
          <w:szCs w:val="21"/>
          <w:lang w:val="en-GB"/>
        </w:rPr>
      </w:pPr>
      <w:r>
        <w:rPr>
          <w:rFonts w:hint="eastAsia" w:ascii="宋体" w:hAnsi="宋体" w:cs="Arial"/>
          <w:szCs w:val="21"/>
        </w:rPr>
        <w:t xml:space="preserve"> 1.投标人须对招标文件中所有</w:t>
      </w:r>
      <w:r>
        <w:rPr>
          <w:rFonts w:ascii="宋体" w:hAnsi="宋体" w:cs="Arial"/>
          <w:szCs w:val="21"/>
        </w:rPr>
        <w:t>“</w:t>
      </w:r>
      <w:r>
        <w:rPr>
          <w:rFonts w:hint="eastAsia" w:ascii="宋体" w:hAnsi="宋体" w:cs="宋体"/>
          <w:szCs w:val="21"/>
        </w:rPr>
        <w:t>★</w:t>
      </w:r>
      <w:r>
        <w:rPr>
          <w:rFonts w:ascii="宋体" w:hAnsi="宋体" w:cs="Arial"/>
          <w:szCs w:val="21"/>
        </w:rPr>
        <w:t>”</w:t>
      </w:r>
      <w:r>
        <w:rPr>
          <w:rFonts w:hint="eastAsia" w:ascii="宋体" w:hAnsi="宋体" w:cs="Arial"/>
          <w:szCs w:val="21"/>
        </w:rPr>
        <w:t>号指标进行响应，并按投标文件中响应</w:t>
      </w:r>
      <w:r>
        <w:rPr>
          <w:rFonts w:hint="eastAsia" w:ascii="宋体" w:hAnsi="宋体" w:cs="Arial"/>
          <w:bCs/>
          <w:szCs w:val="21"/>
        </w:rPr>
        <w:t>章节和页码</w:t>
      </w:r>
      <w:r>
        <w:rPr>
          <w:rFonts w:hint="eastAsia" w:ascii="宋体" w:hAnsi="宋体" w:cs="Arial"/>
          <w:szCs w:val="21"/>
        </w:rPr>
        <w:t>填写此表，</w:t>
      </w:r>
      <w:r>
        <w:rPr>
          <w:rFonts w:hint="eastAsia" w:ascii="宋体" w:hAnsi="宋体"/>
          <w:szCs w:val="21"/>
          <w:lang w:val="en-GB"/>
        </w:rPr>
        <w:t>本表内容不得擅自修改。</w:t>
      </w:r>
    </w:p>
    <w:p>
      <w:pPr>
        <w:ind w:right="-170" w:rightChars="-81" w:firstLine="420" w:firstLineChars="200"/>
        <w:rPr>
          <w:rFonts w:ascii="宋体" w:hAnsi="宋体"/>
          <w:szCs w:val="21"/>
        </w:rPr>
      </w:pPr>
      <w:r>
        <w:rPr>
          <w:rFonts w:hint="eastAsia" w:ascii="宋体" w:hAnsi="宋体"/>
          <w:szCs w:val="21"/>
        </w:rPr>
        <w:t>2.请投标人认真填写本表内容，如填写错误将可能导致投标无效。</w:t>
      </w:r>
    </w:p>
    <w:p>
      <w:pPr>
        <w:ind w:right="-170" w:rightChars="-81" w:firstLine="420" w:firstLineChars="200"/>
        <w:rPr>
          <w:rFonts w:ascii="宋体" w:hAnsi="宋体" w:cs="Arial"/>
          <w:szCs w:val="21"/>
        </w:rPr>
      </w:pPr>
      <w:r>
        <w:rPr>
          <w:rFonts w:hint="eastAsia" w:ascii="宋体" w:hAnsi="宋体"/>
          <w:szCs w:val="21"/>
        </w:rPr>
        <w:t>3.</w:t>
      </w:r>
      <w:r>
        <w:rPr>
          <w:rFonts w:hint="eastAsia" w:ascii="宋体" w:hAnsi="宋体" w:cs="Arial"/>
          <w:szCs w:val="21"/>
        </w:rPr>
        <w:t>如招标文件未设置</w:t>
      </w:r>
      <w:r>
        <w:rPr>
          <w:rFonts w:ascii="宋体" w:hAnsi="宋体" w:cs="Arial"/>
          <w:szCs w:val="21"/>
        </w:rPr>
        <w:t>“</w:t>
      </w:r>
      <w:r>
        <w:rPr>
          <w:rFonts w:hint="eastAsia" w:ascii="宋体" w:hAnsi="宋体" w:cs="Arial"/>
          <w:szCs w:val="21"/>
        </w:rPr>
        <w:t>★</w:t>
      </w:r>
      <w:r>
        <w:rPr>
          <w:rFonts w:ascii="宋体" w:hAnsi="宋体" w:cs="Arial"/>
          <w:szCs w:val="21"/>
        </w:rPr>
        <w:t>”</w:t>
      </w:r>
      <w:r>
        <w:rPr>
          <w:rFonts w:hint="eastAsia" w:ascii="宋体" w:hAnsi="宋体" w:cs="Arial"/>
          <w:szCs w:val="21"/>
        </w:rPr>
        <w:t>号指标，</w:t>
      </w:r>
      <w:r>
        <w:rPr>
          <w:rFonts w:hint="eastAsia" w:hAnsi="宋体"/>
          <w:szCs w:val="21"/>
        </w:rPr>
        <w:t>可不填写本表。</w:t>
      </w:r>
    </w:p>
    <w:p>
      <w:pPr>
        <w:ind w:right="-170" w:rightChars="-81" w:firstLine="420" w:firstLineChars="200"/>
        <w:rPr>
          <w:rFonts w:ascii="宋体" w:hAnsi="宋体"/>
          <w:szCs w:val="21"/>
        </w:rPr>
      </w:pPr>
    </w:p>
    <w:p>
      <w:pPr>
        <w:rPr>
          <w:rFonts w:ascii="宋体" w:hAnsi="宋体"/>
        </w:rPr>
      </w:pPr>
    </w:p>
    <w:p>
      <w:pPr>
        <w:rPr>
          <w:rFonts w:ascii="宋体" w:hAnsi="宋体"/>
          <w:szCs w:val="21"/>
        </w:rPr>
      </w:pPr>
    </w:p>
    <w:p>
      <w:pPr>
        <w:ind w:left="1155" w:hanging="525"/>
        <w:rPr>
          <w:rFonts w:ascii="宋体" w:hAnsi="宋体"/>
        </w:rPr>
      </w:pPr>
    </w:p>
    <w:p>
      <w:pPr>
        <w:spacing w:line="360" w:lineRule="auto"/>
        <w:rPr>
          <w:rFonts w:ascii="宋体" w:hAnsi="宋体"/>
        </w:rPr>
      </w:pPr>
    </w:p>
    <w:p>
      <w:pPr>
        <w:spacing w:line="360" w:lineRule="auto"/>
        <w:ind w:firstLine="3885" w:firstLineChars="1850"/>
        <w:rPr>
          <w:rFonts w:ascii="宋体" w:hAnsi="宋体"/>
          <w:szCs w:val="21"/>
        </w:rPr>
      </w:pPr>
      <w:r>
        <w:rPr>
          <w:rFonts w:hint="eastAsia" w:ascii="宋体" w:hAnsi="宋体"/>
          <w:szCs w:val="21"/>
        </w:rPr>
        <w:t>投标人全称（盖公章）：</w:t>
      </w:r>
    </w:p>
    <w:p>
      <w:pPr>
        <w:spacing w:line="360" w:lineRule="auto"/>
        <w:ind w:left="3885" w:leftChars="200" w:hanging="3465" w:hangingChars="1650"/>
        <w:rPr>
          <w:rFonts w:ascii="宋体" w:hAnsi="宋体"/>
        </w:rPr>
      </w:pPr>
      <w:r>
        <w:rPr>
          <w:rFonts w:hint="eastAsia" w:ascii="宋体" w:hAnsi="宋体"/>
        </w:rPr>
        <w:t xml:space="preserve">                                 法定代表人或授权代表（签字或盖章）：</w:t>
      </w:r>
    </w:p>
    <w:p>
      <w:pPr>
        <w:spacing w:afterLines="3000" w:line="360" w:lineRule="auto"/>
        <w:ind w:left="3885" w:leftChars="200" w:hanging="3465" w:hangingChars="1650"/>
        <w:rPr>
          <w:rFonts w:ascii="宋体" w:hAnsi="宋体"/>
        </w:rPr>
      </w:pPr>
      <w:r>
        <w:rPr>
          <w:rFonts w:hint="eastAsia" w:ascii="宋体" w:hAnsi="宋体"/>
        </w:rPr>
        <w:t xml:space="preserve">                                 日       期：</w:t>
      </w:r>
    </w:p>
    <w:p>
      <w:pPr>
        <w:widowControl/>
        <w:spacing w:line="360" w:lineRule="auto"/>
        <w:jc w:val="left"/>
        <w:rPr>
          <w:rFonts w:ascii="宋体" w:hAnsi="宋体"/>
          <w:b/>
        </w:rPr>
      </w:pPr>
      <w:r>
        <w:rPr>
          <w:rFonts w:hint="eastAsia" w:ascii="宋体" w:hAnsi="宋体"/>
          <w:b/>
        </w:rPr>
        <w:t>6．公平竞争承诺书</w:t>
      </w:r>
    </w:p>
    <w:p>
      <w:pPr>
        <w:rPr>
          <w:rFonts w:ascii="宋体" w:hAnsi="宋体"/>
        </w:rPr>
      </w:pPr>
    </w:p>
    <w:p>
      <w:pPr>
        <w:rPr>
          <w:rFonts w:ascii="宋体" w:hAnsi="宋体"/>
        </w:rPr>
      </w:pPr>
    </w:p>
    <w:p>
      <w:pPr>
        <w:jc w:val="center"/>
        <w:rPr>
          <w:rFonts w:ascii="宋体" w:hAnsi="宋体"/>
          <w:b/>
          <w:sz w:val="28"/>
          <w:szCs w:val="28"/>
        </w:rPr>
      </w:pPr>
      <w:r>
        <w:rPr>
          <w:rFonts w:hint="eastAsia" w:ascii="宋体" w:hAnsi="宋体"/>
          <w:b/>
          <w:sz w:val="28"/>
          <w:szCs w:val="28"/>
        </w:rPr>
        <w:t>公平竞争承诺书</w:t>
      </w:r>
    </w:p>
    <w:p>
      <w:pPr>
        <w:rPr>
          <w:rFonts w:ascii="宋体" w:hAnsi="宋体"/>
        </w:rPr>
      </w:pPr>
    </w:p>
    <w:p>
      <w:pPr>
        <w:spacing w:line="360" w:lineRule="auto"/>
        <w:ind w:firstLine="420" w:firstLineChars="200"/>
        <w:rPr>
          <w:rFonts w:ascii="宋体" w:hAnsi="宋体" w:cs="宋体"/>
          <w:color w:val="000000"/>
        </w:rPr>
      </w:pPr>
      <w:r>
        <w:rPr>
          <w:rFonts w:hint="eastAsia" w:ascii="宋体" w:hAnsi="宋体" w:cs="宋体"/>
          <w:color w:val="000000"/>
        </w:rPr>
        <w:t>我方郑重承诺：我方保证所提交的相关资质文件和证明材料的真实性，有良好的历史诚信记录，并将依法参与</w:t>
      </w:r>
      <w:r>
        <w:rPr>
          <w:rFonts w:hint="eastAsia" w:ascii="宋体" w:hAnsi="宋体" w:eastAsia="宋体" w:cs="Times New Roman"/>
          <w:color w:val="000000"/>
          <w:kern w:val="2"/>
          <w:sz w:val="21"/>
          <w:szCs w:val="20"/>
          <w:u w:val="single"/>
          <w:lang w:val="en-US" w:eastAsia="zh-CN" w:bidi="ar"/>
        </w:rPr>
        <w:t xml:space="preserve">                     </w:t>
      </w:r>
      <w:r>
        <w:rPr>
          <w:rFonts w:hint="eastAsia" w:ascii="宋体" w:hAnsi="宋体" w:cs="宋体"/>
          <w:color w:val="000000"/>
        </w:rPr>
        <w:t xml:space="preserve">项目的公平竞争，不以任何不正当行为谋取不当利益，否则承担相应的法律责任。  </w:t>
      </w:r>
    </w:p>
    <w:p>
      <w:pPr>
        <w:ind w:firstLine="420" w:firstLineChars="200"/>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ind w:firstLine="3885" w:firstLineChars="1850"/>
        <w:rPr>
          <w:rFonts w:ascii="宋体" w:hAnsi="宋体"/>
          <w:szCs w:val="21"/>
        </w:rPr>
      </w:pPr>
      <w:r>
        <w:rPr>
          <w:rFonts w:hint="eastAsia" w:ascii="宋体" w:hAnsi="宋体"/>
          <w:szCs w:val="21"/>
        </w:rPr>
        <w:t>投标人全称（盖公章）：</w:t>
      </w:r>
    </w:p>
    <w:p>
      <w:pPr>
        <w:spacing w:line="360" w:lineRule="auto"/>
        <w:ind w:left="3885" w:leftChars="200" w:hanging="3465" w:hangingChars="1650"/>
        <w:rPr>
          <w:rFonts w:ascii="宋体" w:hAnsi="宋体"/>
        </w:rPr>
      </w:pPr>
      <w:r>
        <w:rPr>
          <w:rFonts w:hint="eastAsia" w:ascii="宋体" w:hAnsi="宋体"/>
        </w:rPr>
        <w:t xml:space="preserve">                                 法定代表人或授权代表（签字或盖章）：</w:t>
      </w:r>
    </w:p>
    <w:p>
      <w:pPr>
        <w:spacing w:afterLines="3000" w:line="360" w:lineRule="auto"/>
        <w:ind w:left="3885" w:leftChars="200" w:hanging="3465" w:hangingChars="1650"/>
        <w:rPr>
          <w:rFonts w:ascii="宋体" w:hAnsi="宋体"/>
        </w:rPr>
      </w:pPr>
      <w:r>
        <w:rPr>
          <w:rFonts w:hint="eastAsia" w:ascii="宋体" w:hAnsi="宋体"/>
        </w:rPr>
        <w:t xml:space="preserve">                                 日       期：</w:t>
      </w:r>
    </w:p>
    <w:p>
      <w:pPr>
        <w:spacing w:line="360" w:lineRule="auto"/>
        <w:ind w:left="632" w:hanging="632" w:hangingChars="300"/>
        <w:jc w:val="center"/>
        <w:rPr>
          <w:rFonts w:ascii="宋体" w:hAnsi="宋体"/>
          <w:b/>
        </w:rPr>
      </w:pPr>
    </w:p>
    <w:p>
      <w:pPr>
        <w:pageBreakBefore/>
        <w:spacing w:line="360" w:lineRule="auto"/>
        <w:ind w:firstLine="103" w:firstLineChars="49"/>
        <w:rPr>
          <w:rFonts w:ascii="宋体" w:hAnsi="宋体"/>
          <w:b/>
        </w:rPr>
      </w:pPr>
      <w:r>
        <w:rPr>
          <w:rFonts w:hint="eastAsia" w:ascii="宋体" w:hAnsi="宋体"/>
          <w:b/>
        </w:rPr>
        <w:t>三、技术商务文件</w:t>
      </w:r>
    </w:p>
    <w:p>
      <w:pPr>
        <w:spacing w:line="360" w:lineRule="auto"/>
        <w:ind w:firstLine="103" w:firstLineChars="49"/>
        <w:rPr>
          <w:rFonts w:ascii="宋体" w:hAnsi="宋体"/>
          <w:b/>
        </w:rPr>
      </w:pPr>
      <w:r>
        <w:rPr>
          <w:rFonts w:hint="eastAsia" w:ascii="宋体" w:hAnsi="宋体"/>
          <w:b/>
        </w:rPr>
        <w:t>1.企业情况表</w:t>
      </w:r>
    </w:p>
    <w:p>
      <w:pPr>
        <w:jc w:val="center"/>
        <w:rPr>
          <w:rFonts w:ascii="宋体" w:hAnsi="宋体"/>
          <w:b/>
        </w:rPr>
      </w:pPr>
    </w:p>
    <w:p>
      <w:pPr>
        <w:jc w:val="center"/>
        <w:rPr>
          <w:rFonts w:ascii="宋体" w:hAnsi="宋体"/>
          <w:b/>
          <w:sz w:val="28"/>
          <w:szCs w:val="28"/>
        </w:rPr>
      </w:pPr>
      <w:r>
        <w:rPr>
          <w:rFonts w:hint="eastAsia" w:ascii="宋体" w:hAnsi="宋体"/>
          <w:b/>
          <w:sz w:val="28"/>
          <w:szCs w:val="28"/>
        </w:rPr>
        <w:t>企业情况表</w:t>
      </w:r>
    </w:p>
    <w:p>
      <w:pPr>
        <w:tabs>
          <w:tab w:val="left" w:pos="476"/>
        </w:tabs>
        <w:rPr>
          <w:rFonts w:ascii="宋体" w:hAnsi="宋体"/>
          <w:szCs w:val="21"/>
        </w:rPr>
      </w:pPr>
      <w:r>
        <w:rPr>
          <w:rFonts w:ascii="宋体" w:hAnsi="宋体"/>
          <w:b/>
          <w:sz w:val="28"/>
          <w:szCs w:val="28"/>
        </w:rPr>
        <w:tab/>
      </w:r>
      <w:r>
        <w:rPr>
          <w:rFonts w:hint="eastAsia" w:ascii="宋体" w:hAnsi="宋体"/>
          <w:szCs w:val="21"/>
        </w:rPr>
        <w:t>项目名称：</w:t>
      </w:r>
    </w:p>
    <w:tbl>
      <w:tblPr>
        <w:tblStyle w:val="44"/>
        <w:tblW w:w="8681" w:type="dxa"/>
        <w:tblInd w:w="4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215"/>
        <w:gridCol w:w="1216"/>
        <w:gridCol w:w="404"/>
        <w:gridCol w:w="812"/>
        <w:gridCol w:w="748"/>
        <w:gridCol w:w="467"/>
        <w:gridCol w:w="1092"/>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3" w:hRule="atLeast"/>
        </w:trPr>
        <w:tc>
          <w:tcPr>
            <w:tcW w:w="1387" w:type="dxa"/>
            <w:tcBorders>
              <w:top w:val="double" w:color="auto" w:sz="4" w:space="0"/>
              <w:left w:val="double" w:color="auto" w:sz="4" w:space="0"/>
            </w:tcBorders>
            <w:noWrap/>
            <w:vAlign w:val="center"/>
          </w:tcPr>
          <w:p>
            <w:pPr>
              <w:keepNext w:val="0"/>
              <w:keepLines w:val="0"/>
              <w:suppressLineNumbers w:val="0"/>
              <w:spacing w:before="0" w:beforeAutospacing="0" w:after="0" w:afterAutospacing="0"/>
              <w:ind w:left="0" w:right="0"/>
              <w:rPr>
                <w:rFonts w:ascii="宋体" w:hAnsi="宋体"/>
                <w:szCs w:val="22"/>
              </w:rPr>
            </w:pPr>
            <w:r>
              <w:rPr>
                <w:rFonts w:hint="eastAsia" w:ascii="宋体" w:hAnsi="宋体"/>
                <w:szCs w:val="22"/>
              </w:rPr>
              <w:t>单位名称</w:t>
            </w:r>
          </w:p>
        </w:tc>
        <w:tc>
          <w:tcPr>
            <w:tcW w:w="2835" w:type="dxa"/>
            <w:gridSpan w:val="3"/>
            <w:tcBorders>
              <w:top w:val="double" w:color="auto" w:sz="4" w:space="0"/>
            </w:tcBorders>
            <w:noWrap/>
            <w:vAlign w:val="center"/>
          </w:tcPr>
          <w:p>
            <w:pPr>
              <w:keepNext w:val="0"/>
              <w:keepLines w:val="0"/>
              <w:suppressLineNumbers w:val="0"/>
              <w:spacing w:before="0" w:beforeAutospacing="0" w:after="0" w:afterAutospacing="0"/>
              <w:ind w:left="0" w:right="0"/>
              <w:rPr>
                <w:rFonts w:ascii="宋体" w:hAnsi="宋体"/>
                <w:szCs w:val="22"/>
              </w:rPr>
            </w:pPr>
          </w:p>
        </w:tc>
        <w:tc>
          <w:tcPr>
            <w:tcW w:w="1560" w:type="dxa"/>
            <w:gridSpan w:val="2"/>
            <w:tcBorders>
              <w:top w:val="double" w:color="auto" w:sz="4" w:space="0"/>
            </w:tcBorders>
            <w:noWrap/>
            <w:vAlign w:val="center"/>
          </w:tcPr>
          <w:p>
            <w:pPr>
              <w:keepNext w:val="0"/>
              <w:keepLines w:val="0"/>
              <w:suppressLineNumbers w:val="0"/>
              <w:spacing w:before="0" w:beforeAutospacing="0" w:after="0" w:afterAutospacing="0"/>
              <w:ind w:left="0" w:right="0"/>
              <w:rPr>
                <w:rFonts w:ascii="宋体" w:hAnsi="宋体"/>
                <w:szCs w:val="22"/>
              </w:rPr>
            </w:pPr>
            <w:r>
              <w:rPr>
                <w:rFonts w:ascii="宋体" w:hAnsi="宋体"/>
                <w:szCs w:val="22"/>
              </w:rPr>
              <w:t>统一社会信用代码</w:t>
            </w:r>
          </w:p>
        </w:tc>
        <w:tc>
          <w:tcPr>
            <w:tcW w:w="2899" w:type="dxa"/>
            <w:gridSpan w:val="3"/>
            <w:tcBorders>
              <w:top w:val="double" w:color="auto" w:sz="4" w:space="0"/>
              <w:right w:val="double" w:color="auto" w:sz="4" w:space="0"/>
            </w:tcBorders>
            <w:noWrap/>
            <w:vAlign w:val="center"/>
          </w:tcPr>
          <w:p>
            <w:pPr>
              <w:keepNext w:val="0"/>
              <w:keepLines w:val="0"/>
              <w:suppressLineNumbers w:val="0"/>
              <w:spacing w:before="0" w:beforeAutospacing="0" w:after="0" w:afterAutospacing="0"/>
              <w:ind w:left="0" w:right="0"/>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387" w:type="dxa"/>
            <w:tcBorders>
              <w:top w:val="single" w:color="auto" w:sz="4" w:space="0"/>
              <w:left w:val="double" w:color="auto" w:sz="4" w:space="0"/>
            </w:tcBorders>
            <w:noWrap/>
            <w:vAlign w:val="center"/>
          </w:tcPr>
          <w:p>
            <w:pPr>
              <w:keepNext w:val="0"/>
              <w:keepLines w:val="0"/>
              <w:suppressLineNumbers w:val="0"/>
              <w:spacing w:before="0" w:beforeAutospacing="0" w:after="0" w:afterAutospacing="0"/>
              <w:ind w:left="0" w:right="0"/>
              <w:rPr>
                <w:rFonts w:ascii="宋体" w:hAnsi="宋体"/>
                <w:szCs w:val="22"/>
              </w:rPr>
            </w:pPr>
            <w:r>
              <w:rPr>
                <w:rFonts w:hint="eastAsia" w:ascii="宋体" w:hAnsi="宋体"/>
                <w:szCs w:val="22"/>
              </w:rPr>
              <w:t>单位性质</w:t>
            </w:r>
          </w:p>
        </w:tc>
        <w:tc>
          <w:tcPr>
            <w:tcW w:w="2835" w:type="dxa"/>
            <w:gridSpan w:val="3"/>
            <w:tcBorders>
              <w:top w:val="single" w:color="auto" w:sz="4" w:space="0"/>
            </w:tcBorders>
            <w:noWrap/>
            <w:vAlign w:val="center"/>
          </w:tcPr>
          <w:p>
            <w:pPr>
              <w:keepNext w:val="0"/>
              <w:keepLines w:val="0"/>
              <w:suppressLineNumbers w:val="0"/>
              <w:spacing w:before="0" w:beforeAutospacing="0" w:after="0" w:afterAutospacing="0"/>
              <w:ind w:left="0" w:right="0"/>
              <w:rPr>
                <w:rFonts w:ascii="宋体" w:hAnsi="宋体"/>
                <w:szCs w:val="22"/>
              </w:rPr>
            </w:pPr>
          </w:p>
        </w:tc>
        <w:tc>
          <w:tcPr>
            <w:tcW w:w="1560" w:type="dxa"/>
            <w:gridSpan w:val="2"/>
            <w:tcBorders>
              <w:top w:val="single" w:color="auto" w:sz="4" w:space="0"/>
            </w:tcBorders>
            <w:noWrap/>
            <w:vAlign w:val="center"/>
          </w:tcPr>
          <w:p>
            <w:pPr>
              <w:keepNext w:val="0"/>
              <w:keepLines w:val="0"/>
              <w:suppressLineNumbers w:val="0"/>
              <w:spacing w:before="0" w:beforeAutospacing="0" w:after="0" w:afterAutospacing="0"/>
              <w:ind w:left="0" w:right="0"/>
              <w:rPr>
                <w:rFonts w:ascii="宋体" w:hAnsi="宋体"/>
                <w:szCs w:val="22"/>
              </w:rPr>
            </w:pPr>
            <w:r>
              <w:rPr>
                <w:rFonts w:hint="eastAsia" w:ascii="宋体" w:hAnsi="宋体"/>
                <w:szCs w:val="22"/>
              </w:rPr>
              <w:t>注册资金</w:t>
            </w:r>
          </w:p>
        </w:tc>
        <w:tc>
          <w:tcPr>
            <w:tcW w:w="2899" w:type="dxa"/>
            <w:gridSpan w:val="3"/>
            <w:tcBorders>
              <w:top w:val="single" w:color="auto" w:sz="4" w:space="0"/>
              <w:right w:val="double" w:color="auto" w:sz="4" w:space="0"/>
            </w:tcBorders>
            <w:noWrap/>
            <w:vAlign w:val="center"/>
          </w:tcPr>
          <w:p>
            <w:pPr>
              <w:keepNext w:val="0"/>
              <w:keepLines w:val="0"/>
              <w:suppressLineNumbers w:val="0"/>
              <w:spacing w:before="0" w:beforeAutospacing="0" w:after="0" w:afterAutospacing="0"/>
              <w:ind w:left="0" w:right="0"/>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387" w:type="dxa"/>
            <w:tcBorders>
              <w:top w:val="single" w:color="auto" w:sz="4" w:space="0"/>
              <w:left w:val="double" w:color="auto" w:sz="4" w:space="0"/>
            </w:tcBorders>
            <w:noWrap/>
            <w:vAlign w:val="center"/>
          </w:tcPr>
          <w:p>
            <w:pPr>
              <w:keepNext w:val="0"/>
              <w:keepLines w:val="0"/>
              <w:suppressLineNumbers w:val="0"/>
              <w:spacing w:before="0" w:beforeAutospacing="0" w:after="0" w:afterAutospacing="0"/>
              <w:ind w:left="0" w:right="0"/>
              <w:rPr>
                <w:rFonts w:ascii="宋体" w:hAnsi="宋体"/>
                <w:szCs w:val="22"/>
              </w:rPr>
            </w:pPr>
            <w:r>
              <w:rPr>
                <w:rFonts w:hint="eastAsia" w:ascii="宋体" w:hAnsi="宋体"/>
                <w:szCs w:val="22"/>
              </w:rPr>
              <w:t>注册地址</w:t>
            </w:r>
          </w:p>
        </w:tc>
        <w:tc>
          <w:tcPr>
            <w:tcW w:w="2835" w:type="dxa"/>
            <w:gridSpan w:val="3"/>
            <w:tcBorders>
              <w:top w:val="single" w:color="auto" w:sz="4" w:space="0"/>
            </w:tcBorders>
            <w:noWrap/>
            <w:vAlign w:val="center"/>
          </w:tcPr>
          <w:p>
            <w:pPr>
              <w:keepNext w:val="0"/>
              <w:keepLines w:val="0"/>
              <w:suppressLineNumbers w:val="0"/>
              <w:spacing w:before="0" w:beforeAutospacing="0" w:after="0" w:afterAutospacing="0"/>
              <w:ind w:left="0" w:right="0"/>
              <w:rPr>
                <w:rFonts w:ascii="宋体" w:hAnsi="宋体"/>
                <w:szCs w:val="22"/>
              </w:rPr>
            </w:pPr>
          </w:p>
        </w:tc>
        <w:tc>
          <w:tcPr>
            <w:tcW w:w="1560" w:type="dxa"/>
            <w:gridSpan w:val="2"/>
            <w:tcBorders>
              <w:top w:val="single" w:color="auto" w:sz="4" w:space="0"/>
            </w:tcBorders>
            <w:noWrap/>
            <w:vAlign w:val="center"/>
          </w:tcPr>
          <w:p>
            <w:pPr>
              <w:keepNext w:val="0"/>
              <w:keepLines w:val="0"/>
              <w:suppressLineNumbers w:val="0"/>
              <w:spacing w:before="0" w:beforeAutospacing="0" w:after="0" w:afterAutospacing="0"/>
              <w:ind w:left="0" w:right="0"/>
              <w:rPr>
                <w:rFonts w:ascii="宋体" w:hAnsi="宋体"/>
                <w:szCs w:val="22"/>
              </w:rPr>
            </w:pPr>
            <w:r>
              <w:rPr>
                <w:rFonts w:hint="eastAsia" w:ascii="宋体" w:hAnsi="宋体"/>
                <w:szCs w:val="22"/>
              </w:rPr>
              <w:t>营业期限</w:t>
            </w:r>
          </w:p>
        </w:tc>
        <w:tc>
          <w:tcPr>
            <w:tcW w:w="2899" w:type="dxa"/>
            <w:gridSpan w:val="3"/>
            <w:tcBorders>
              <w:top w:val="single" w:color="auto" w:sz="4" w:space="0"/>
              <w:right w:val="double" w:color="auto" w:sz="4" w:space="0"/>
            </w:tcBorders>
            <w:noWrap/>
            <w:vAlign w:val="center"/>
          </w:tcPr>
          <w:p>
            <w:pPr>
              <w:keepNext w:val="0"/>
              <w:keepLines w:val="0"/>
              <w:suppressLineNumbers w:val="0"/>
              <w:spacing w:before="0" w:beforeAutospacing="0" w:after="0" w:afterAutospacing="0"/>
              <w:ind w:left="0" w:right="0"/>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387" w:type="dxa"/>
            <w:tcBorders>
              <w:top w:val="single" w:color="auto" w:sz="4" w:space="0"/>
              <w:left w:val="double" w:color="auto" w:sz="4" w:space="0"/>
            </w:tcBorders>
            <w:noWrap/>
            <w:vAlign w:val="center"/>
          </w:tcPr>
          <w:p>
            <w:pPr>
              <w:keepNext w:val="0"/>
              <w:keepLines w:val="0"/>
              <w:suppressLineNumbers w:val="0"/>
              <w:spacing w:before="0" w:beforeAutospacing="0" w:after="0" w:afterAutospacing="0"/>
              <w:ind w:left="0" w:right="0"/>
              <w:rPr>
                <w:rFonts w:ascii="宋体" w:hAnsi="宋体"/>
                <w:szCs w:val="22"/>
              </w:rPr>
            </w:pPr>
            <w:r>
              <w:rPr>
                <w:rFonts w:hint="eastAsia" w:ascii="宋体" w:hAnsi="宋体"/>
                <w:szCs w:val="22"/>
              </w:rPr>
              <w:t>法定代表人</w:t>
            </w:r>
          </w:p>
        </w:tc>
        <w:tc>
          <w:tcPr>
            <w:tcW w:w="2835" w:type="dxa"/>
            <w:gridSpan w:val="3"/>
            <w:tcBorders>
              <w:top w:val="single" w:color="auto" w:sz="4" w:space="0"/>
            </w:tcBorders>
            <w:noWrap/>
            <w:vAlign w:val="center"/>
          </w:tcPr>
          <w:p>
            <w:pPr>
              <w:keepNext w:val="0"/>
              <w:keepLines w:val="0"/>
              <w:suppressLineNumbers w:val="0"/>
              <w:spacing w:before="0" w:beforeAutospacing="0" w:after="0" w:afterAutospacing="0"/>
              <w:ind w:left="0" w:right="0"/>
              <w:rPr>
                <w:rFonts w:ascii="宋体" w:hAnsi="宋体"/>
                <w:szCs w:val="22"/>
              </w:rPr>
            </w:pPr>
          </w:p>
        </w:tc>
        <w:tc>
          <w:tcPr>
            <w:tcW w:w="1560" w:type="dxa"/>
            <w:gridSpan w:val="2"/>
            <w:tcBorders>
              <w:top w:val="single" w:color="auto" w:sz="4" w:space="0"/>
            </w:tcBorders>
            <w:noWrap/>
            <w:vAlign w:val="center"/>
          </w:tcPr>
          <w:p>
            <w:pPr>
              <w:keepNext w:val="0"/>
              <w:keepLines w:val="0"/>
              <w:suppressLineNumbers w:val="0"/>
              <w:spacing w:before="0" w:beforeAutospacing="0" w:after="0" w:afterAutospacing="0"/>
              <w:ind w:left="0" w:right="0"/>
              <w:rPr>
                <w:rFonts w:ascii="宋体" w:hAnsi="宋体"/>
                <w:szCs w:val="22"/>
              </w:rPr>
            </w:pPr>
            <w:r>
              <w:rPr>
                <w:rFonts w:hint="eastAsia" w:ascii="宋体" w:hAnsi="宋体"/>
                <w:szCs w:val="22"/>
              </w:rPr>
              <w:t>委托代理人</w:t>
            </w:r>
          </w:p>
        </w:tc>
        <w:tc>
          <w:tcPr>
            <w:tcW w:w="2899" w:type="dxa"/>
            <w:gridSpan w:val="3"/>
            <w:tcBorders>
              <w:top w:val="single" w:color="auto" w:sz="4" w:space="0"/>
              <w:right w:val="double" w:color="auto" w:sz="4" w:space="0"/>
            </w:tcBorders>
            <w:noWrap/>
            <w:vAlign w:val="center"/>
          </w:tcPr>
          <w:p>
            <w:pPr>
              <w:keepNext w:val="0"/>
              <w:keepLines w:val="0"/>
              <w:suppressLineNumbers w:val="0"/>
              <w:spacing w:before="0" w:beforeAutospacing="0" w:after="0" w:afterAutospacing="0"/>
              <w:ind w:left="0" w:right="0"/>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3" w:hRule="atLeast"/>
        </w:trPr>
        <w:tc>
          <w:tcPr>
            <w:tcW w:w="1387" w:type="dxa"/>
            <w:tcBorders>
              <w:top w:val="single" w:color="auto" w:sz="4" w:space="0"/>
              <w:left w:val="double" w:color="auto" w:sz="4" w:space="0"/>
            </w:tcBorders>
            <w:noWrap/>
            <w:vAlign w:val="center"/>
          </w:tcPr>
          <w:p>
            <w:pPr>
              <w:keepNext w:val="0"/>
              <w:keepLines w:val="0"/>
              <w:suppressLineNumbers w:val="0"/>
              <w:spacing w:before="0" w:beforeAutospacing="0" w:after="0" w:afterAutospacing="0"/>
              <w:ind w:left="0" w:right="0"/>
              <w:rPr>
                <w:rFonts w:ascii="宋体" w:hAnsi="宋体"/>
                <w:szCs w:val="22"/>
              </w:rPr>
            </w:pPr>
            <w:r>
              <w:rPr>
                <w:rFonts w:hint="eastAsia" w:ascii="宋体" w:hAnsi="宋体"/>
                <w:szCs w:val="22"/>
              </w:rPr>
              <w:t>联系电话</w:t>
            </w:r>
          </w:p>
        </w:tc>
        <w:tc>
          <w:tcPr>
            <w:tcW w:w="2835" w:type="dxa"/>
            <w:gridSpan w:val="3"/>
            <w:tcBorders>
              <w:top w:val="single" w:color="auto" w:sz="4" w:space="0"/>
            </w:tcBorders>
            <w:noWrap/>
            <w:vAlign w:val="center"/>
          </w:tcPr>
          <w:p>
            <w:pPr>
              <w:keepNext w:val="0"/>
              <w:keepLines w:val="0"/>
              <w:suppressLineNumbers w:val="0"/>
              <w:spacing w:before="0" w:beforeAutospacing="0" w:after="0" w:afterAutospacing="0"/>
              <w:ind w:left="0" w:right="0"/>
              <w:rPr>
                <w:rFonts w:ascii="宋体" w:hAnsi="宋体"/>
                <w:szCs w:val="22"/>
              </w:rPr>
            </w:pPr>
          </w:p>
        </w:tc>
        <w:tc>
          <w:tcPr>
            <w:tcW w:w="1560" w:type="dxa"/>
            <w:gridSpan w:val="2"/>
            <w:tcBorders>
              <w:top w:val="single" w:color="auto" w:sz="4" w:space="0"/>
            </w:tcBorders>
            <w:noWrap/>
            <w:vAlign w:val="center"/>
          </w:tcPr>
          <w:p>
            <w:pPr>
              <w:keepNext w:val="0"/>
              <w:keepLines w:val="0"/>
              <w:suppressLineNumbers w:val="0"/>
              <w:spacing w:before="0" w:beforeAutospacing="0" w:after="0" w:afterAutospacing="0"/>
              <w:ind w:left="0" w:right="0"/>
              <w:rPr>
                <w:rFonts w:ascii="宋体" w:hAnsi="宋体"/>
                <w:szCs w:val="22"/>
              </w:rPr>
            </w:pPr>
            <w:r>
              <w:rPr>
                <w:rFonts w:hint="eastAsia" w:ascii="宋体" w:hAnsi="宋体"/>
                <w:szCs w:val="22"/>
              </w:rPr>
              <w:t>传真</w:t>
            </w:r>
          </w:p>
        </w:tc>
        <w:tc>
          <w:tcPr>
            <w:tcW w:w="2899" w:type="dxa"/>
            <w:gridSpan w:val="3"/>
            <w:tcBorders>
              <w:top w:val="single" w:color="auto" w:sz="4" w:space="0"/>
              <w:right w:val="double" w:color="auto" w:sz="4" w:space="0"/>
            </w:tcBorders>
            <w:noWrap/>
            <w:vAlign w:val="center"/>
          </w:tcPr>
          <w:p>
            <w:pPr>
              <w:keepNext w:val="0"/>
              <w:keepLines w:val="0"/>
              <w:suppressLineNumbers w:val="0"/>
              <w:spacing w:before="0" w:beforeAutospacing="0" w:after="0" w:afterAutospacing="0"/>
              <w:ind w:left="0" w:right="0"/>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4" w:hRule="atLeast"/>
        </w:trPr>
        <w:tc>
          <w:tcPr>
            <w:tcW w:w="1387" w:type="dxa"/>
            <w:tcBorders>
              <w:left w:val="double" w:color="auto" w:sz="4" w:space="0"/>
            </w:tcBorders>
            <w:noWrap/>
            <w:vAlign w:val="center"/>
          </w:tcPr>
          <w:p>
            <w:pPr>
              <w:keepNext w:val="0"/>
              <w:keepLines w:val="0"/>
              <w:suppressLineNumbers w:val="0"/>
              <w:spacing w:before="0" w:beforeAutospacing="0" w:after="0" w:afterAutospacing="0"/>
              <w:ind w:left="0" w:right="0"/>
              <w:rPr>
                <w:rFonts w:ascii="宋体" w:hAnsi="宋体"/>
                <w:szCs w:val="22"/>
              </w:rPr>
            </w:pPr>
            <w:r>
              <w:rPr>
                <w:rFonts w:hint="eastAsia" w:ascii="宋体" w:hAnsi="宋体"/>
                <w:szCs w:val="22"/>
              </w:rPr>
              <w:t>经营范围</w:t>
            </w:r>
          </w:p>
        </w:tc>
        <w:tc>
          <w:tcPr>
            <w:tcW w:w="7294" w:type="dxa"/>
            <w:gridSpan w:val="8"/>
            <w:tcBorders>
              <w:right w:val="double" w:color="auto" w:sz="4" w:space="0"/>
            </w:tcBorders>
            <w:noWrap/>
            <w:vAlign w:val="center"/>
          </w:tcPr>
          <w:p>
            <w:pPr>
              <w:keepNext w:val="0"/>
              <w:keepLines w:val="0"/>
              <w:suppressLineNumbers w:val="0"/>
              <w:spacing w:before="0" w:beforeAutospacing="0" w:after="0" w:afterAutospacing="0"/>
              <w:ind w:left="0" w:right="0"/>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93" w:hRule="atLeast"/>
        </w:trPr>
        <w:tc>
          <w:tcPr>
            <w:tcW w:w="1387" w:type="dxa"/>
            <w:tcBorders>
              <w:left w:val="double" w:color="auto" w:sz="4" w:space="0"/>
            </w:tcBorders>
            <w:noWrap/>
            <w:vAlign w:val="center"/>
          </w:tcPr>
          <w:p>
            <w:pPr>
              <w:keepNext w:val="0"/>
              <w:keepLines w:val="0"/>
              <w:suppressLineNumbers w:val="0"/>
              <w:spacing w:before="0" w:beforeAutospacing="0" w:after="0" w:afterAutospacing="0"/>
              <w:ind w:left="0" w:right="0"/>
              <w:rPr>
                <w:rFonts w:ascii="宋体" w:hAnsi="宋体"/>
                <w:szCs w:val="22"/>
              </w:rPr>
            </w:pPr>
            <w:r>
              <w:rPr>
                <w:rFonts w:hint="eastAsia" w:ascii="宋体" w:hAnsi="宋体"/>
                <w:szCs w:val="22"/>
              </w:rPr>
              <w:t>单位简介及机构设置</w:t>
            </w:r>
          </w:p>
        </w:tc>
        <w:tc>
          <w:tcPr>
            <w:tcW w:w="7294" w:type="dxa"/>
            <w:gridSpan w:val="8"/>
            <w:tcBorders>
              <w:right w:val="double" w:color="auto" w:sz="4" w:space="0"/>
            </w:tcBorders>
            <w:noWrap/>
            <w:vAlign w:val="center"/>
          </w:tcPr>
          <w:p>
            <w:pPr>
              <w:keepNext w:val="0"/>
              <w:keepLines w:val="0"/>
              <w:suppressLineNumbers w:val="0"/>
              <w:spacing w:before="0" w:beforeAutospacing="0" w:after="0" w:afterAutospacing="0"/>
              <w:ind w:left="0" w:right="0"/>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64" w:hRule="atLeast"/>
        </w:trPr>
        <w:tc>
          <w:tcPr>
            <w:tcW w:w="1387" w:type="dxa"/>
            <w:tcBorders>
              <w:left w:val="double" w:color="auto" w:sz="4" w:space="0"/>
            </w:tcBorders>
            <w:noWrap/>
            <w:vAlign w:val="center"/>
          </w:tcPr>
          <w:p>
            <w:pPr>
              <w:keepNext w:val="0"/>
              <w:keepLines w:val="0"/>
              <w:suppressLineNumbers w:val="0"/>
              <w:spacing w:before="0" w:beforeAutospacing="0" w:after="0" w:afterAutospacing="0"/>
              <w:ind w:left="0" w:right="0"/>
              <w:rPr>
                <w:rFonts w:ascii="宋体" w:hAnsi="宋体"/>
                <w:szCs w:val="22"/>
              </w:rPr>
            </w:pPr>
            <w:r>
              <w:rPr>
                <w:rFonts w:hint="eastAsia" w:ascii="宋体" w:hAnsi="宋体"/>
                <w:szCs w:val="22"/>
              </w:rPr>
              <w:t>员工数量</w:t>
            </w:r>
          </w:p>
        </w:tc>
        <w:tc>
          <w:tcPr>
            <w:tcW w:w="7294" w:type="dxa"/>
            <w:gridSpan w:val="8"/>
            <w:tcBorders>
              <w:right w:val="double" w:color="auto" w:sz="4" w:space="0"/>
            </w:tcBorders>
            <w:noWrap/>
            <w:vAlign w:val="center"/>
          </w:tcPr>
          <w:p>
            <w:pPr>
              <w:keepNext w:val="0"/>
              <w:keepLines w:val="0"/>
              <w:suppressLineNumbers w:val="0"/>
              <w:spacing w:before="0" w:beforeAutospacing="0" w:after="0" w:afterAutospacing="0"/>
              <w:ind w:left="0" w:right="0"/>
              <w:rPr>
                <w:rFonts w:ascii="宋体" w:hAnsi="宋体"/>
                <w:szCs w:val="22"/>
              </w:rPr>
            </w:pPr>
            <w:r>
              <w:rPr>
                <w:rFonts w:hint="eastAsia" w:ascii="宋体" w:hAnsi="宋体"/>
                <w:szCs w:val="22"/>
              </w:rPr>
              <w:t>共人，其中，高级职称人，中级职称人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02" w:hRule="atLeast"/>
        </w:trPr>
        <w:tc>
          <w:tcPr>
            <w:tcW w:w="1387" w:type="dxa"/>
            <w:vMerge w:val="restart"/>
            <w:tcBorders>
              <w:left w:val="double" w:color="auto" w:sz="4" w:space="0"/>
              <w:bottom w:val="double" w:color="auto" w:sz="4" w:space="0"/>
            </w:tcBorders>
            <w:noWrap/>
            <w:vAlign w:val="center"/>
          </w:tcPr>
          <w:p>
            <w:pPr>
              <w:keepNext w:val="0"/>
              <w:keepLines w:val="0"/>
              <w:suppressLineNumbers w:val="0"/>
              <w:spacing w:before="0" w:beforeAutospacing="0" w:after="0" w:afterAutospacing="0"/>
              <w:ind w:left="0" w:right="0"/>
              <w:rPr>
                <w:rFonts w:ascii="宋体" w:hAnsi="宋体"/>
                <w:szCs w:val="22"/>
              </w:rPr>
            </w:pPr>
            <w:r>
              <w:rPr>
                <w:rFonts w:hint="eastAsia" w:ascii="宋体" w:hAnsi="宋体"/>
                <w:szCs w:val="22"/>
              </w:rPr>
              <w:t>财务情况</w:t>
            </w:r>
          </w:p>
        </w:tc>
        <w:tc>
          <w:tcPr>
            <w:tcW w:w="1215" w:type="dxa"/>
            <w:tcBorders>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年度</w:t>
            </w:r>
          </w:p>
        </w:tc>
        <w:tc>
          <w:tcPr>
            <w:tcW w:w="1216" w:type="dxa"/>
            <w:tcBorders>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主营收入</w:t>
            </w:r>
          </w:p>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（万元）</w:t>
            </w:r>
          </w:p>
        </w:tc>
        <w:tc>
          <w:tcPr>
            <w:tcW w:w="1216" w:type="dxa"/>
            <w:gridSpan w:val="2"/>
            <w:tcBorders>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收入总额</w:t>
            </w:r>
          </w:p>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（万元）</w:t>
            </w:r>
          </w:p>
        </w:tc>
        <w:tc>
          <w:tcPr>
            <w:tcW w:w="1215" w:type="dxa"/>
            <w:gridSpan w:val="2"/>
            <w:tcBorders>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利润总额（万元）</w:t>
            </w:r>
          </w:p>
        </w:tc>
        <w:tc>
          <w:tcPr>
            <w:tcW w:w="1092" w:type="dxa"/>
            <w:tcBorders>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净利润</w:t>
            </w:r>
          </w:p>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(万元）</w:t>
            </w:r>
          </w:p>
        </w:tc>
        <w:tc>
          <w:tcPr>
            <w:tcW w:w="1340" w:type="dxa"/>
            <w:tcBorders>
              <w:left w:val="single" w:color="auto" w:sz="4" w:space="0"/>
              <w:bottom w:val="single" w:color="auto" w:sz="4" w:space="0"/>
              <w:right w:val="double" w:color="auto" w:sz="4" w:space="0"/>
            </w:tcBorders>
            <w:noWrap/>
            <w:vAlign w:val="center"/>
          </w:tcPr>
          <w:p>
            <w:pPr>
              <w:keepNext w:val="0"/>
              <w:keepLines w:val="0"/>
              <w:suppressLineNumbers w:val="0"/>
              <w:spacing w:before="0" w:beforeAutospacing="0" w:after="0" w:afterAutospacing="0"/>
              <w:ind w:left="0" w:right="0"/>
              <w:jc w:val="center"/>
              <w:rPr>
                <w:rFonts w:ascii="宋体" w:hAnsi="宋体"/>
                <w:szCs w:val="22"/>
              </w:rPr>
            </w:pPr>
            <w:r>
              <w:rPr>
                <w:rFonts w:hint="eastAsia" w:ascii="宋体" w:hAnsi="宋体"/>
                <w:szCs w:val="22"/>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31" w:hRule="atLeast"/>
        </w:trPr>
        <w:tc>
          <w:tcPr>
            <w:tcW w:w="1387" w:type="dxa"/>
            <w:vMerge w:val="continue"/>
            <w:tcBorders>
              <w:top w:val="double" w:color="auto" w:sz="4" w:space="0"/>
              <w:left w:val="double" w:color="auto" w:sz="4" w:space="0"/>
              <w:bottom w:val="double" w:color="auto" w:sz="4" w:space="0"/>
            </w:tcBorders>
            <w:noWrap/>
            <w:vAlign w:val="center"/>
          </w:tcPr>
          <w:p>
            <w:pPr>
              <w:keepNext w:val="0"/>
              <w:keepLines w:val="0"/>
              <w:suppressLineNumbers w:val="0"/>
              <w:spacing w:before="0" w:beforeAutospacing="0" w:after="0" w:afterAutospacing="0"/>
              <w:ind w:left="0" w:right="0"/>
              <w:rPr>
                <w:rFonts w:ascii="宋体" w:hAnsi="宋体"/>
                <w:szCs w:val="22"/>
              </w:rPr>
            </w:pPr>
          </w:p>
        </w:tc>
        <w:tc>
          <w:tcPr>
            <w:tcW w:w="1215" w:type="dxa"/>
            <w:tcBorders>
              <w:top w:val="single" w:color="auto" w:sz="4" w:space="0"/>
              <w:bottom w:val="doub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1216" w:type="dxa"/>
            <w:tcBorders>
              <w:top w:val="single" w:color="auto" w:sz="4" w:space="0"/>
              <w:left w:val="single" w:color="auto" w:sz="4" w:space="0"/>
              <w:bottom w:val="doub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1216" w:type="dxa"/>
            <w:gridSpan w:val="2"/>
            <w:tcBorders>
              <w:top w:val="single" w:color="auto" w:sz="4" w:space="0"/>
              <w:left w:val="single" w:color="auto" w:sz="4" w:space="0"/>
              <w:bottom w:val="doub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1215" w:type="dxa"/>
            <w:gridSpan w:val="2"/>
            <w:tcBorders>
              <w:top w:val="single" w:color="auto" w:sz="4" w:space="0"/>
              <w:left w:val="single" w:color="auto" w:sz="4" w:space="0"/>
              <w:bottom w:val="doub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1092" w:type="dxa"/>
            <w:tcBorders>
              <w:top w:val="single" w:color="auto" w:sz="4" w:space="0"/>
              <w:left w:val="single" w:color="auto" w:sz="4" w:space="0"/>
              <w:bottom w:val="doub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ascii="宋体" w:hAnsi="宋体"/>
                <w:szCs w:val="22"/>
              </w:rPr>
            </w:pPr>
          </w:p>
        </w:tc>
        <w:tc>
          <w:tcPr>
            <w:tcW w:w="1340" w:type="dxa"/>
            <w:tcBorders>
              <w:top w:val="single" w:color="auto" w:sz="4" w:space="0"/>
              <w:left w:val="single" w:color="auto" w:sz="4" w:space="0"/>
              <w:bottom w:val="double" w:color="auto" w:sz="4" w:space="0"/>
              <w:right w:val="double" w:color="auto" w:sz="4" w:space="0"/>
            </w:tcBorders>
            <w:noWrap/>
            <w:vAlign w:val="center"/>
          </w:tcPr>
          <w:p>
            <w:pPr>
              <w:keepNext w:val="0"/>
              <w:keepLines w:val="0"/>
              <w:suppressLineNumbers w:val="0"/>
              <w:spacing w:before="0" w:beforeAutospacing="0" w:after="0" w:afterAutospacing="0"/>
              <w:ind w:left="0" w:right="0"/>
              <w:jc w:val="center"/>
              <w:rPr>
                <w:rFonts w:ascii="宋体" w:hAnsi="宋体"/>
                <w:szCs w:val="22"/>
              </w:rPr>
            </w:pPr>
          </w:p>
        </w:tc>
      </w:tr>
    </w:tbl>
    <w:p>
      <w:pPr>
        <w:pageBreakBefore/>
        <w:rPr>
          <w:rFonts w:ascii="宋体" w:hAnsi="宋体"/>
          <w:b/>
        </w:rPr>
      </w:pPr>
      <w:r>
        <w:rPr>
          <w:rFonts w:hint="eastAsia"/>
          <w:b/>
        </w:rPr>
        <w:t xml:space="preserve">2. </w:t>
      </w:r>
      <w:r>
        <w:rPr>
          <w:rFonts w:hint="eastAsia" w:ascii="宋体" w:hAnsi="宋体"/>
          <w:b/>
        </w:rPr>
        <w:t>用户需求书响应表</w:t>
      </w:r>
    </w:p>
    <w:p>
      <w:pPr>
        <w:spacing w:line="360" w:lineRule="auto"/>
        <w:ind w:firstLine="281" w:firstLineChars="100"/>
        <w:jc w:val="center"/>
        <w:rPr>
          <w:rFonts w:ascii="宋体" w:hAnsi="Courier New"/>
          <w:b/>
          <w:kern w:val="0"/>
          <w:sz w:val="28"/>
          <w:szCs w:val="28"/>
        </w:rPr>
      </w:pPr>
      <w:r>
        <w:rPr>
          <w:rFonts w:hint="eastAsia" w:ascii="宋体" w:hAnsi="Courier New"/>
          <w:b/>
          <w:kern w:val="0"/>
          <w:sz w:val="28"/>
          <w:szCs w:val="28"/>
        </w:rPr>
        <w:t>用户需求书响应表</w:t>
      </w:r>
    </w:p>
    <w:p>
      <w:pPr>
        <w:spacing w:line="360" w:lineRule="auto"/>
        <w:ind w:firstLine="210" w:firstLineChars="100"/>
        <w:rPr>
          <w:rFonts w:ascii="宋体" w:hAnsi="宋体"/>
        </w:rPr>
      </w:pPr>
      <w:r>
        <w:rPr>
          <w:rFonts w:hint="eastAsia" w:ascii="宋体" w:hAnsi="宋体"/>
        </w:rPr>
        <w:t xml:space="preserve">项目名称： </w:t>
      </w:r>
    </w:p>
    <w:tbl>
      <w:tblPr>
        <w:tblStyle w:val="44"/>
        <w:tblW w:w="9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2921"/>
        <w:gridCol w:w="2405"/>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noWrap/>
            <w:vAlign w:val="center"/>
          </w:tcPr>
          <w:p>
            <w:pPr>
              <w:keepNext w:val="0"/>
              <w:keepLines w:val="0"/>
              <w:suppressLineNumbers w:val="0"/>
              <w:spacing w:before="0" w:beforeAutospacing="0" w:after="0" w:afterAutospacing="0"/>
              <w:ind w:left="0" w:right="0"/>
              <w:jc w:val="center"/>
              <w:rPr>
                <w:b/>
                <w:szCs w:val="22"/>
              </w:rPr>
            </w:pPr>
            <w:r>
              <w:rPr>
                <w:rFonts w:hint="eastAsia"/>
                <w:b/>
                <w:szCs w:val="22"/>
              </w:rPr>
              <w:t>序号</w:t>
            </w:r>
          </w:p>
        </w:tc>
        <w:tc>
          <w:tcPr>
            <w:tcW w:w="2921" w:type="dxa"/>
            <w:noWrap/>
            <w:vAlign w:val="center"/>
          </w:tcPr>
          <w:p>
            <w:pPr>
              <w:keepNext w:val="0"/>
              <w:keepLines w:val="0"/>
              <w:suppressLineNumbers w:val="0"/>
              <w:spacing w:before="0" w:beforeAutospacing="0" w:after="0" w:afterAutospacing="0"/>
              <w:ind w:left="0" w:right="0"/>
              <w:jc w:val="center"/>
              <w:rPr>
                <w:b/>
                <w:szCs w:val="22"/>
              </w:rPr>
            </w:pPr>
            <w:r>
              <w:rPr>
                <w:rFonts w:hint="eastAsia"/>
                <w:b/>
                <w:szCs w:val="22"/>
              </w:rPr>
              <w:t>招标规格/功能要求</w:t>
            </w:r>
          </w:p>
        </w:tc>
        <w:tc>
          <w:tcPr>
            <w:tcW w:w="2405" w:type="dxa"/>
            <w:noWrap/>
            <w:vAlign w:val="center"/>
          </w:tcPr>
          <w:p>
            <w:pPr>
              <w:keepNext w:val="0"/>
              <w:keepLines w:val="0"/>
              <w:suppressLineNumbers w:val="0"/>
              <w:spacing w:before="0" w:beforeAutospacing="0" w:after="0" w:afterAutospacing="0"/>
              <w:ind w:left="0" w:right="0"/>
              <w:jc w:val="center"/>
              <w:rPr>
                <w:rFonts w:ascii="宋体" w:hAnsi="宋体"/>
                <w:b/>
                <w:szCs w:val="21"/>
              </w:rPr>
            </w:pPr>
            <w:r>
              <w:rPr>
                <w:rFonts w:hint="eastAsia" w:ascii="宋体" w:hAnsi="宋体"/>
                <w:b/>
                <w:szCs w:val="21"/>
              </w:rPr>
              <w:t>投标实际参数</w:t>
            </w:r>
          </w:p>
          <w:p>
            <w:pPr>
              <w:keepNext w:val="0"/>
              <w:keepLines w:val="0"/>
              <w:suppressLineNumbers w:val="0"/>
              <w:spacing w:before="0" w:beforeAutospacing="0" w:after="0" w:afterAutospacing="0"/>
              <w:ind w:left="0" w:right="0"/>
              <w:jc w:val="center"/>
              <w:rPr>
                <w:b/>
                <w:szCs w:val="22"/>
              </w:rPr>
            </w:pPr>
            <w:r>
              <w:rPr>
                <w:rFonts w:hint="eastAsia" w:ascii="宋体" w:hAnsi="宋体"/>
                <w:b/>
                <w:bCs/>
                <w:szCs w:val="21"/>
              </w:rPr>
              <w:t>(投标人应按投标货物/服务实际数据填写)</w:t>
            </w:r>
          </w:p>
        </w:tc>
        <w:tc>
          <w:tcPr>
            <w:tcW w:w="1890" w:type="dxa"/>
            <w:noWrap/>
            <w:vAlign w:val="center"/>
          </w:tcPr>
          <w:p>
            <w:pPr>
              <w:keepNext w:val="0"/>
              <w:keepLines w:val="0"/>
              <w:suppressLineNumbers w:val="0"/>
              <w:spacing w:before="0" w:beforeAutospacing="0" w:after="0" w:afterAutospacing="0"/>
              <w:ind w:left="0" w:right="0"/>
              <w:jc w:val="center"/>
              <w:rPr>
                <w:rFonts w:hAnsi="宋体"/>
                <w:b/>
                <w:szCs w:val="21"/>
              </w:rPr>
            </w:pPr>
            <w:r>
              <w:rPr>
                <w:rFonts w:hint="eastAsia" w:hAnsi="宋体"/>
                <w:b/>
                <w:szCs w:val="21"/>
              </w:rPr>
              <w:t>偏离情况</w:t>
            </w:r>
          </w:p>
          <w:p>
            <w:pPr>
              <w:keepNext w:val="0"/>
              <w:keepLines w:val="0"/>
              <w:suppressLineNumbers w:val="0"/>
              <w:spacing w:before="0" w:beforeAutospacing="0" w:after="0" w:afterAutospacing="0"/>
              <w:ind w:left="0" w:right="0"/>
              <w:jc w:val="center"/>
              <w:rPr>
                <w:b/>
                <w:szCs w:val="22"/>
              </w:rPr>
            </w:pPr>
            <w:r>
              <w:rPr>
                <w:rFonts w:hint="eastAsia" w:hAnsi="宋体"/>
                <w:b/>
                <w:szCs w:val="21"/>
              </w:rPr>
              <w:t>（正偏离/无偏离/负偏离）</w:t>
            </w:r>
          </w:p>
        </w:tc>
        <w:tc>
          <w:tcPr>
            <w:tcW w:w="1157" w:type="dxa"/>
            <w:noWrap/>
            <w:vAlign w:val="center"/>
          </w:tcPr>
          <w:p>
            <w:pPr>
              <w:keepNext w:val="0"/>
              <w:keepLines w:val="0"/>
              <w:suppressLineNumbers w:val="0"/>
              <w:spacing w:before="0" w:beforeAutospacing="0" w:after="0" w:afterAutospacing="0"/>
              <w:ind w:left="0" w:right="0"/>
              <w:jc w:val="center"/>
              <w:rPr>
                <w:b/>
                <w:szCs w:val="22"/>
              </w:rPr>
            </w:pPr>
            <w:r>
              <w:rPr>
                <w:rFonts w:hint="eastAsia"/>
                <w:b/>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noWrap/>
            <w:vAlign w:val="center"/>
          </w:tcPr>
          <w:p>
            <w:pPr>
              <w:keepNext w:val="0"/>
              <w:keepLines w:val="0"/>
              <w:suppressLineNumbers w:val="0"/>
              <w:spacing w:before="0" w:beforeAutospacing="0" w:after="0" w:afterAutospacing="0"/>
              <w:ind w:left="0" w:right="0"/>
              <w:jc w:val="center"/>
              <w:rPr>
                <w:szCs w:val="22"/>
              </w:rPr>
            </w:pPr>
            <w:r>
              <w:rPr>
                <w:rFonts w:hint="eastAsia"/>
                <w:szCs w:val="22"/>
              </w:rPr>
              <w:t>1</w:t>
            </w:r>
          </w:p>
        </w:tc>
        <w:tc>
          <w:tcPr>
            <w:tcW w:w="2921" w:type="dxa"/>
            <w:noWrap/>
            <w:vAlign w:val="center"/>
          </w:tcPr>
          <w:p>
            <w:pPr>
              <w:keepNext w:val="0"/>
              <w:keepLines w:val="0"/>
              <w:suppressLineNumbers w:val="0"/>
              <w:spacing w:before="0" w:beforeAutospacing="0" w:after="0" w:afterAutospacing="0"/>
              <w:ind w:left="0" w:right="0"/>
              <w:rPr>
                <w:szCs w:val="22"/>
              </w:rPr>
            </w:pPr>
          </w:p>
        </w:tc>
        <w:tc>
          <w:tcPr>
            <w:tcW w:w="2405" w:type="dxa"/>
            <w:noWrap/>
            <w:vAlign w:val="center"/>
          </w:tcPr>
          <w:p>
            <w:pPr>
              <w:keepNext w:val="0"/>
              <w:keepLines w:val="0"/>
              <w:suppressLineNumbers w:val="0"/>
              <w:spacing w:before="0" w:beforeAutospacing="0" w:after="0" w:afterAutospacing="0"/>
              <w:ind w:left="0" w:right="0"/>
              <w:jc w:val="center"/>
              <w:rPr>
                <w:szCs w:val="22"/>
              </w:rPr>
            </w:pPr>
          </w:p>
        </w:tc>
        <w:tc>
          <w:tcPr>
            <w:tcW w:w="1890" w:type="dxa"/>
            <w:noWrap/>
            <w:vAlign w:val="center"/>
          </w:tcPr>
          <w:p>
            <w:pPr>
              <w:keepNext w:val="0"/>
              <w:keepLines w:val="0"/>
              <w:suppressLineNumbers w:val="0"/>
              <w:spacing w:before="0" w:beforeAutospacing="0" w:after="0" w:afterAutospacing="0"/>
              <w:ind w:left="0" w:right="0"/>
              <w:jc w:val="center"/>
              <w:rPr>
                <w:szCs w:val="22"/>
              </w:rPr>
            </w:pPr>
          </w:p>
        </w:tc>
        <w:tc>
          <w:tcPr>
            <w:tcW w:w="1157" w:type="dxa"/>
            <w:noWrap/>
            <w:vAlign w:val="center"/>
          </w:tcPr>
          <w:p>
            <w:pPr>
              <w:keepNext w:val="0"/>
              <w:keepLines w:val="0"/>
              <w:suppressLineNumbers w:val="0"/>
              <w:spacing w:before="0" w:beforeAutospacing="0" w:after="0" w:afterAutospacing="0"/>
              <w:ind w:left="0" w:right="0"/>
              <w:jc w:val="cente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noWrap/>
            <w:vAlign w:val="center"/>
          </w:tcPr>
          <w:p>
            <w:pPr>
              <w:keepNext w:val="0"/>
              <w:keepLines w:val="0"/>
              <w:suppressLineNumbers w:val="0"/>
              <w:spacing w:before="0" w:beforeAutospacing="0" w:after="0" w:afterAutospacing="0"/>
              <w:ind w:left="0" w:right="0"/>
              <w:jc w:val="center"/>
              <w:rPr>
                <w:szCs w:val="22"/>
              </w:rPr>
            </w:pPr>
            <w:r>
              <w:rPr>
                <w:rFonts w:hint="eastAsia"/>
                <w:szCs w:val="22"/>
              </w:rPr>
              <w:t>2</w:t>
            </w:r>
          </w:p>
        </w:tc>
        <w:tc>
          <w:tcPr>
            <w:tcW w:w="2921" w:type="dxa"/>
            <w:noWrap/>
            <w:vAlign w:val="center"/>
          </w:tcPr>
          <w:p>
            <w:pPr>
              <w:keepNext w:val="0"/>
              <w:keepLines w:val="0"/>
              <w:suppressLineNumbers w:val="0"/>
              <w:spacing w:before="0" w:beforeAutospacing="0" w:after="0" w:afterAutospacing="0"/>
              <w:ind w:left="0" w:right="0"/>
              <w:rPr>
                <w:szCs w:val="22"/>
              </w:rPr>
            </w:pPr>
          </w:p>
        </w:tc>
        <w:tc>
          <w:tcPr>
            <w:tcW w:w="2405" w:type="dxa"/>
            <w:noWrap/>
            <w:vAlign w:val="center"/>
          </w:tcPr>
          <w:p>
            <w:pPr>
              <w:keepNext w:val="0"/>
              <w:keepLines w:val="0"/>
              <w:suppressLineNumbers w:val="0"/>
              <w:spacing w:before="0" w:beforeAutospacing="0" w:after="0" w:afterAutospacing="0"/>
              <w:ind w:left="0" w:right="0"/>
              <w:jc w:val="center"/>
              <w:rPr>
                <w:szCs w:val="22"/>
              </w:rPr>
            </w:pPr>
          </w:p>
        </w:tc>
        <w:tc>
          <w:tcPr>
            <w:tcW w:w="1890" w:type="dxa"/>
            <w:noWrap/>
            <w:vAlign w:val="center"/>
          </w:tcPr>
          <w:p>
            <w:pPr>
              <w:keepNext w:val="0"/>
              <w:keepLines w:val="0"/>
              <w:suppressLineNumbers w:val="0"/>
              <w:spacing w:before="0" w:beforeAutospacing="0" w:after="0" w:afterAutospacing="0"/>
              <w:ind w:left="0" w:right="0"/>
              <w:jc w:val="center"/>
              <w:rPr>
                <w:szCs w:val="22"/>
              </w:rPr>
            </w:pPr>
          </w:p>
        </w:tc>
        <w:tc>
          <w:tcPr>
            <w:tcW w:w="1157" w:type="dxa"/>
            <w:noWrap/>
            <w:vAlign w:val="center"/>
          </w:tcPr>
          <w:p>
            <w:pPr>
              <w:keepNext w:val="0"/>
              <w:keepLines w:val="0"/>
              <w:suppressLineNumbers w:val="0"/>
              <w:spacing w:before="0" w:beforeAutospacing="0" w:after="0" w:afterAutospacing="0"/>
              <w:ind w:left="0" w:right="0"/>
              <w:jc w:val="cente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noWrap/>
            <w:vAlign w:val="center"/>
          </w:tcPr>
          <w:p>
            <w:pPr>
              <w:keepNext w:val="0"/>
              <w:keepLines w:val="0"/>
              <w:suppressLineNumbers w:val="0"/>
              <w:spacing w:before="0" w:beforeAutospacing="0" w:after="0" w:afterAutospacing="0"/>
              <w:ind w:left="0" w:right="0"/>
              <w:jc w:val="center"/>
              <w:rPr>
                <w:szCs w:val="22"/>
              </w:rPr>
            </w:pPr>
            <w:r>
              <w:rPr>
                <w:rFonts w:hint="eastAsia"/>
                <w:szCs w:val="22"/>
              </w:rPr>
              <w:t>3</w:t>
            </w:r>
          </w:p>
        </w:tc>
        <w:tc>
          <w:tcPr>
            <w:tcW w:w="2921" w:type="dxa"/>
            <w:noWrap/>
            <w:vAlign w:val="center"/>
          </w:tcPr>
          <w:p>
            <w:pPr>
              <w:keepNext w:val="0"/>
              <w:keepLines w:val="0"/>
              <w:suppressLineNumbers w:val="0"/>
              <w:spacing w:before="0" w:beforeAutospacing="0" w:after="0" w:afterAutospacing="0"/>
              <w:ind w:left="0" w:right="0"/>
              <w:rPr>
                <w:szCs w:val="22"/>
              </w:rPr>
            </w:pPr>
          </w:p>
        </w:tc>
        <w:tc>
          <w:tcPr>
            <w:tcW w:w="2405" w:type="dxa"/>
            <w:noWrap/>
            <w:vAlign w:val="center"/>
          </w:tcPr>
          <w:p>
            <w:pPr>
              <w:keepNext w:val="0"/>
              <w:keepLines w:val="0"/>
              <w:suppressLineNumbers w:val="0"/>
              <w:spacing w:before="0" w:beforeAutospacing="0" w:after="0" w:afterAutospacing="0"/>
              <w:ind w:left="0" w:right="0"/>
              <w:jc w:val="center"/>
              <w:rPr>
                <w:szCs w:val="22"/>
              </w:rPr>
            </w:pPr>
          </w:p>
        </w:tc>
        <w:tc>
          <w:tcPr>
            <w:tcW w:w="1890" w:type="dxa"/>
            <w:noWrap/>
            <w:vAlign w:val="center"/>
          </w:tcPr>
          <w:p>
            <w:pPr>
              <w:keepNext w:val="0"/>
              <w:keepLines w:val="0"/>
              <w:suppressLineNumbers w:val="0"/>
              <w:spacing w:before="0" w:beforeAutospacing="0" w:after="0" w:afterAutospacing="0"/>
              <w:ind w:left="0" w:right="0"/>
              <w:jc w:val="center"/>
              <w:rPr>
                <w:szCs w:val="22"/>
              </w:rPr>
            </w:pPr>
          </w:p>
        </w:tc>
        <w:tc>
          <w:tcPr>
            <w:tcW w:w="1157" w:type="dxa"/>
            <w:noWrap/>
            <w:vAlign w:val="center"/>
          </w:tcPr>
          <w:p>
            <w:pPr>
              <w:keepNext w:val="0"/>
              <w:keepLines w:val="0"/>
              <w:suppressLineNumbers w:val="0"/>
              <w:spacing w:before="0" w:beforeAutospacing="0" w:after="0" w:afterAutospacing="0"/>
              <w:ind w:left="0" w:right="0"/>
              <w:jc w:val="cente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noWrap/>
            <w:vAlign w:val="center"/>
          </w:tcPr>
          <w:p>
            <w:pPr>
              <w:keepNext w:val="0"/>
              <w:keepLines w:val="0"/>
              <w:suppressLineNumbers w:val="0"/>
              <w:spacing w:before="0" w:beforeAutospacing="0" w:after="0" w:afterAutospacing="0"/>
              <w:ind w:left="0" w:right="0"/>
              <w:jc w:val="center"/>
              <w:rPr>
                <w:szCs w:val="22"/>
              </w:rPr>
            </w:pPr>
            <w:r>
              <w:rPr>
                <w:rFonts w:hint="eastAsia"/>
                <w:szCs w:val="22"/>
              </w:rPr>
              <w:t>4</w:t>
            </w:r>
          </w:p>
        </w:tc>
        <w:tc>
          <w:tcPr>
            <w:tcW w:w="2921" w:type="dxa"/>
            <w:noWrap/>
            <w:vAlign w:val="center"/>
          </w:tcPr>
          <w:p>
            <w:pPr>
              <w:keepNext w:val="0"/>
              <w:keepLines w:val="0"/>
              <w:suppressLineNumbers w:val="0"/>
              <w:spacing w:before="0" w:beforeAutospacing="0" w:after="0" w:afterAutospacing="0"/>
              <w:ind w:left="0" w:right="0"/>
              <w:rPr>
                <w:szCs w:val="22"/>
              </w:rPr>
            </w:pPr>
          </w:p>
        </w:tc>
        <w:tc>
          <w:tcPr>
            <w:tcW w:w="2405" w:type="dxa"/>
            <w:noWrap/>
            <w:vAlign w:val="center"/>
          </w:tcPr>
          <w:p>
            <w:pPr>
              <w:keepNext w:val="0"/>
              <w:keepLines w:val="0"/>
              <w:suppressLineNumbers w:val="0"/>
              <w:spacing w:before="0" w:beforeAutospacing="0" w:after="0" w:afterAutospacing="0"/>
              <w:ind w:left="0" w:right="0"/>
              <w:jc w:val="center"/>
              <w:rPr>
                <w:szCs w:val="22"/>
              </w:rPr>
            </w:pPr>
          </w:p>
        </w:tc>
        <w:tc>
          <w:tcPr>
            <w:tcW w:w="1890" w:type="dxa"/>
            <w:noWrap/>
            <w:vAlign w:val="center"/>
          </w:tcPr>
          <w:p>
            <w:pPr>
              <w:keepNext w:val="0"/>
              <w:keepLines w:val="0"/>
              <w:suppressLineNumbers w:val="0"/>
              <w:spacing w:before="0" w:beforeAutospacing="0" w:after="0" w:afterAutospacing="0"/>
              <w:ind w:left="0" w:right="0"/>
              <w:jc w:val="center"/>
              <w:rPr>
                <w:szCs w:val="22"/>
              </w:rPr>
            </w:pPr>
          </w:p>
        </w:tc>
        <w:tc>
          <w:tcPr>
            <w:tcW w:w="1157" w:type="dxa"/>
            <w:noWrap/>
            <w:vAlign w:val="center"/>
          </w:tcPr>
          <w:p>
            <w:pPr>
              <w:keepNext w:val="0"/>
              <w:keepLines w:val="0"/>
              <w:suppressLineNumbers w:val="0"/>
              <w:spacing w:before="0" w:beforeAutospacing="0" w:after="0" w:afterAutospacing="0"/>
              <w:ind w:left="0" w:right="0"/>
              <w:jc w:val="cente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noWrap/>
            <w:vAlign w:val="center"/>
          </w:tcPr>
          <w:p>
            <w:pPr>
              <w:keepNext w:val="0"/>
              <w:keepLines w:val="0"/>
              <w:suppressLineNumbers w:val="0"/>
              <w:spacing w:before="0" w:beforeAutospacing="0" w:after="0" w:afterAutospacing="0"/>
              <w:ind w:left="0" w:right="0"/>
              <w:jc w:val="center"/>
              <w:rPr>
                <w:szCs w:val="22"/>
              </w:rPr>
            </w:pPr>
            <w:r>
              <w:rPr>
                <w:rFonts w:hint="eastAsia"/>
                <w:szCs w:val="22"/>
              </w:rPr>
              <w:t>5</w:t>
            </w:r>
          </w:p>
        </w:tc>
        <w:tc>
          <w:tcPr>
            <w:tcW w:w="2921" w:type="dxa"/>
            <w:noWrap/>
            <w:vAlign w:val="center"/>
          </w:tcPr>
          <w:p>
            <w:pPr>
              <w:keepNext w:val="0"/>
              <w:keepLines w:val="0"/>
              <w:suppressLineNumbers w:val="0"/>
              <w:spacing w:before="0" w:beforeAutospacing="0" w:after="0" w:afterAutospacing="0"/>
              <w:ind w:left="0" w:right="0"/>
              <w:rPr>
                <w:szCs w:val="22"/>
              </w:rPr>
            </w:pPr>
          </w:p>
        </w:tc>
        <w:tc>
          <w:tcPr>
            <w:tcW w:w="2405" w:type="dxa"/>
            <w:noWrap/>
            <w:vAlign w:val="center"/>
          </w:tcPr>
          <w:p>
            <w:pPr>
              <w:keepNext w:val="0"/>
              <w:keepLines w:val="0"/>
              <w:suppressLineNumbers w:val="0"/>
              <w:spacing w:before="0" w:beforeAutospacing="0" w:after="0" w:afterAutospacing="0"/>
              <w:ind w:left="0" w:right="0"/>
              <w:jc w:val="center"/>
              <w:rPr>
                <w:szCs w:val="22"/>
              </w:rPr>
            </w:pPr>
          </w:p>
        </w:tc>
        <w:tc>
          <w:tcPr>
            <w:tcW w:w="1890" w:type="dxa"/>
            <w:noWrap/>
            <w:vAlign w:val="center"/>
          </w:tcPr>
          <w:p>
            <w:pPr>
              <w:keepNext w:val="0"/>
              <w:keepLines w:val="0"/>
              <w:suppressLineNumbers w:val="0"/>
              <w:spacing w:before="0" w:beforeAutospacing="0" w:after="0" w:afterAutospacing="0"/>
              <w:ind w:left="0" w:right="0"/>
              <w:jc w:val="center"/>
              <w:rPr>
                <w:szCs w:val="22"/>
              </w:rPr>
            </w:pPr>
          </w:p>
        </w:tc>
        <w:tc>
          <w:tcPr>
            <w:tcW w:w="1157" w:type="dxa"/>
            <w:noWrap/>
            <w:vAlign w:val="center"/>
          </w:tcPr>
          <w:p>
            <w:pPr>
              <w:keepNext w:val="0"/>
              <w:keepLines w:val="0"/>
              <w:suppressLineNumbers w:val="0"/>
              <w:spacing w:before="0" w:beforeAutospacing="0" w:after="0" w:afterAutospacing="0"/>
              <w:ind w:left="0" w:right="0"/>
              <w:jc w:val="cente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noWrap/>
            <w:vAlign w:val="center"/>
          </w:tcPr>
          <w:p>
            <w:pPr>
              <w:keepNext w:val="0"/>
              <w:keepLines w:val="0"/>
              <w:suppressLineNumbers w:val="0"/>
              <w:spacing w:before="0" w:beforeAutospacing="0" w:after="0" w:afterAutospacing="0"/>
              <w:ind w:left="0" w:right="0"/>
              <w:jc w:val="center"/>
              <w:rPr>
                <w:szCs w:val="22"/>
              </w:rPr>
            </w:pPr>
            <w:r>
              <w:rPr>
                <w:rFonts w:hint="eastAsia"/>
                <w:szCs w:val="22"/>
              </w:rPr>
              <w:t>6</w:t>
            </w:r>
          </w:p>
        </w:tc>
        <w:tc>
          <w:tcPr>
            <w:tcW w:w="2921" w:type="dxa"/>
            <w:noWrap/>
            <w:vAlign w:val="center"/>
          </w:tcPr>
          <w:p>
            <w:pPr>
              <w:keepNext w:val="0"/>
              <w:keepLines w:val="0"/>
              <w:suppressLineNumbers w:val="0"/>
              <w:spacing w:before="0" w:beforeAutospacing="0" w:after="0" w:afterAutospacing="0"/>
              <w:ind w:left="0" w:right="0"/>
              <w:rPr>
                <w:szCs w:val="22"/>
              </w:rPr>
            </w:pPr>
          </w:p>
        </w:tc>
        <w:tc>
          <w:tcPr>
            <w:tcW w:w="2405" w:type="dxa"/>
            <w:noWrap/>
            <w:vAlign w:val="center"/>
          </w:tcPr>
          <w:p>
            <w:pPr>
              <w:keepNext w:val="0"/>
              <w:keepLines w:val="0"/>
              <w:suppressLineNumbers w:val="0"/>
              <w:spacing w:before="0" w:beforeAutospacing="0" w:after="0" w:afterAutospacing="0"/>
              <w:ind w:left="0" w:right="0"/>
              <w:jc w:val="center"/>
              <w:rPr>
                <w:szCs w:val="22"/>
              </w:rPr>
            </w:pPr>
          </w:p>
        </w:tc>
        <w:tc>
          <w:tcPr>
            <w:tcW w:w="1890" w:type="dxa"/>
            <w:noWrap/>
            <w:vAlign w:val="center"/>
          </w:tcPr>
          <w:p>
            <w:pPr>
              <w:keepNext w:val="0"/>
              <w:keepLines w:val="0"/>
              <w:suppressLineNumbers w:val="0"/>
              <w:spacing w:before="0" w:beforeAutospacing="0" w:after="0" w:afterAutospacing="0"/>
              <w:ind w:left="0" w:right="0"/>
              <w:jc w:val="center"/>
              <w:rPr>
                <w:szCs w:val="22"/>
              </w:rPr>
            </w:pPr>
          </w:p>
        </w:tc>
        <w:tc>
          <w:tcPr>
            <w:tcW w:w="1157" w:type="dxa"/>
            <w:noWrap/>
            <w:vAlign w:val="center"/>
          </w:tcPr>
          <w:p>
            <w:pPr>
              <w:keepNext w:val="0"/>
              <w:keepLines w:val="0"/>
              <w:suppressLineNumbers w:val="0"/>
              <w:spacing w:before="0" w:beforeAutospacing="0" w:after="0" w:afterAutospacing="0"/>
              <w:ind w:left="0" w:right="0"/>
              <w:jc w:val="cente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noWrap/>
            <w:vAlign w:val="center"/>
          </w:tcPr>
          <w:p>
            <w:pPr>
              <w:keepNext w:val="0"/>
              <w:keepLines w:val="0"/>
              <w:suppressLineNumbers w:val="0"/>
              <w:spacing w:before="0" w:beforeAutospacing="0" w:after="0" w:afterAutospacing="0"/>
              <w:ind w:left="0" w:right="0"/>
              <w:jc w:val="center"/>
              <w:rPr>
                <w:szCs w:val="22"/>
              </w:rPr>
            </w:pPr>
            <w:r>
              <w:rPr>
                <w:rFonts w:hint="eastAsia"/>
                <w:szCs w:val="22"/>
              </w:rPr>
              <w:t>7</w:t>
            </w:r>
          </w:p>
        </w:tc>
        <w:tc>
          <w:tcPr>
            <w:tcW w:w="2921" w:type="dxa"/>
            <w:noWrap/>
            <w:vAlign w:val="center"/>
          </w:tcPr>
          <w:p>
            <w:pPr>
              <w:keepNext w:val="0"/>
              <w:keepLines w:val="0"/>
              <w:suppressLineNumbers w:val="0"/>
              <w:spacing w:before="0" w:beforeAutospacing="0" w:after="0" w:afterAutospacing="0"/>
              <w:ind w:left="0" w:right="0"/>
              <w:rPr>
                <w:szCs w:val="22"/>
              </w:rPr>
            </w:pPr>
          </w:p>
        </w:tc>
        <w:tc>
          <w:tcPr>
            <w:tcW w:w="2405" w:type="dxa"/>
            <w:noWrap/>
            <w:vAlign w:val="center"/>
          </w:tcPr>
          <w:p>
            <w:pPr>
              <w:keepNext w:val="0"/>
              <w:keepLines w:val="0"/>
              <w:suppressLineNumbers w:val="0"/>
              <w:spacing w:before="0" w:beforeAutospacing="0" w:after="0" w:afterAutospacing="0"/>
              <w:ind w:left="0" w:right="0"/>
              <w:jc w:val="center"/>
              <w:rPr>
                <w:szCs w:val="22"/>
              </w:rPr>
            </w:pPr>
          </w:p>
        </w:tc>
        <w:tc>
          <w:tcPr>
            <w:tcW w:w="1890" w:type="dxa"/>
            <w:noWrap/>
            <w:vAlign w:val="center"/>
          </w:tcPr>
          <w:p>
            <w:pPr>
              <w:keepNext w:val="0"/>
              <w:keepLines w:val="0"/>
              <w:suppressLineNumbers w:val="0"/>
              <w:spacing w:before="0" w:beforeAutospacing="0" w:after="0" w:afterAutospacing="0"/>
              <w:ind w:left="0" w:right="0"/>
              <w:jc w:val="center"/>
              <w:rPr>
                <w:szCs w:val="22"/>
              </w:rPr>
            </w:pPr>
          </w:p>
        </w:tc>
        <w:tc>
          <w:tcPr>
            <w:tcW w:w="1157" w:type="dxa"/>
            <w:noWrap/>
            <w:vAlign w:val="center"/>
          </w:tcPr>
          <w:p>
            <w:pPr>
              <w:keepNext w:val="0"/>
              <w:keepLines w:val="0"/>
              <w:suppressLineNumbers w:val="0"/>
              <w:spacing w:before="0" w:beforeAutospacing="0" w:after="0" w:afterAutospacing="0"/>
              <w:ind w:left="0" w:right="0"/>
              <w:jc w:val="cente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noWrap/>
            <w:vAlign w:val="center"/>
          </w:tcPr>
          <w:p>
            <w:pPr>
              <w:keepNext w:val="0"/>
              <w:keepLines w:val="0"/>
              <w:suppressLineNumbers w:val="0"/>
              <w:spacing w:before="0" w:beforeAutospacing="0" w:after="0" w:afterAutospacing="0"/>
              <w:ind w:left="0" w:right="0"/>
              <w:jc w:val="center"/>
              <w:rPr>
                <w:szCs w:val="22"/>
              </w:rPr>
            </w:pPr>
            <w:r>
              <w:rPr>
                <w:rFonts w:hint="eastAsia"/>
                <w:szCs w:val="22"/>
              </w:rPr>
              <w:t>8</w:t>
            </w:r>
          </w:p>
        </w:tc>
        <w:tc>
          <w:tcPr>
            <w:tcW w:w="2921" w:type="dxa"/>
            <w:noWrap/>
            <w:vAlign w:val="center"/>
          </w:tcPr>
          <w:p>
            <w:pPr>
              <w:keepNext w:val="0"/>
              <w:keepLines w:val="0"/>
              <w:suppressLineNumbers w:val="0"/>
              <w:spacing w:before="0" w:beforeAutospacing="0" w:after="0" w:afterAutospacing="0"/>
              <w:ind w:left="0" w:right="0"/>
              <w:jc w:val="center"/>
              <w:rPr>
                <w:szCs w:val="22"/>
              </w:rPr>
            </w:pPr>
          </w:p>
        </w:tc>
        <w:tc>
          <w:tcPr>
            <w:tcW w:w="2405" w:type="dxa"/>
            <w:noWrap/>
            <w:vAlign w:val="center"/>
          </w:tcPr>
          <w:p>
            <w:pPr>
              <w:keepNext w:val="0"/>
              <w:keepLines w:val="0"/>
              <w:suppressLineNumbers w:val="0"/>
              <w:spacing w:before="0" w:beforeAutospacing="0" w:after="0" w:afterAutospacing="0"/>
              <w:ind w:left="0" w:right="0"/>
              <w:jc w:val="center"/>
              <w:rPr>
                <w:szCs w:val="22"/>
              </w:rPr>
            </w:pPr>
          </w:p>
        </w:tc>
        <w:tc>
          <w:tcPr>
            <w:tcW w:w="1890" w:type="dxa"/>
            <w:noWrap/>
            <w:vAlign w:val="center"/>
          </w:tcPr>
          <w:p>
            <w:pPr>
              <w:keepNext w:val="0"/>
              <w:keepLines w:val="0"/>
              <w:suppressLineNumbers w:val="0"/>
              <w:spacing w:before="0" w:beforeAutospacing="0" w:after="0" w:afterAutospacing="0"/>
              <w:ind w:left="0" w:right="0"/>
              <w:jc w:val="center"/>
              <w:rPr>
                <w:szCs w:val="22"/>
              </w:rPr>
            </w:pPr>
          </w:p>
        </w:tc>
        <w:tc>
          <w:tcPr>
            <w:tcW w:w="1157" w:type="dxa"/>
            <w:noWrap/>
            <w:vAlign w:val="center"/>
          </w:tcPr>
          <w:p>
            <w:pPr>
              <w:keepNext w:val="0"/>
              <w:keepLines w:val="0"/>
              <w:suppressLineNumbers w:val="0"/>
              <w:spacing w:before="0" w:beforeAutospacing="0" w:after="0" w:afterAutospacing="0"/>
              <w:ind w:left="0" w:right="0"/>
              <w:jc w:val="center"/>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3" w:type="dxa"/>
            <w:noWrap/>
            <w:vAlign w:val="center"/>
          </w:tcPr>
          <w:p>
            <w:pPr>
              <w:keepNext w:val="0"/>
              <w:keepLines w:val="0"/>
              <w:suppressLineNumbers w:val="0"/>
              <w:spacing w:before="0" w:beforeAutospacing="0" w:after="0" w:afterAutospacing="0"/>
              <w:ind w:left="0" w:right="0"/>
              <w:jc w:val="center"/>
              <w:rPr>
                <w:szCs w:val="22"/>
              </w:rPr>
            </w:pPr>
            <w:r>
              <w:rPr>
                <w:szCs w:val="22"/>
              </w:rPr>
              <w:t>…</w:t>
            </w:r>
          </w:p>
        </w:tc>
        <w:tc>
          <w:tcPr>
            <w:tcW w:w="2921" w:type="dxa"/>
            <w:noWrap/>
            <w:vAlign w:val="center"/>
          </w:tcPr>
          <w:p>
            <w:pPr>
              <w:keepNext w:val="0"/>
              <w:keepLines w:val="0"/>
              <w:suppressLineNumbers w:val="0"/>
              <w:spacing w:before="0" w:beforeAutospacing="0" w:after="0" w:afterAutospacing="0"/>
              <w:ind w:left="0" w:right="0"/>
              <w:jc w:val="center"/>
              <w:rPr>
                <w:szCs w:val="22"/>
              </w:rPr>
            </w:pPr>
          </w:p>
        </w:tc>
        <w:tc>
          <w:tcPr>
            <w:tcW w:w="2405" w:type="dxa"/>
            <w:noWrap/>
            <w:vAlign w:val="center"/>
          </w:tcPr>
          <w:p>
            <w:pPr>
              <w:keepNext w:val="0"/>
              <w:keepLines w:val="0"/>
              <w:suppressLineNumbers w:val="0"/>
              <w:spacing w:before="0" w:beforeAutospacing="0" w:after="0" w:afterAutospacing="0"/>
              <w:ind w:left="0" w:right="0"/>
              <w:jc w:val="center"/>
              <w:rPr>
                <w:szCs w:val="22"/>
              </w:rPr>
            </w:pPr>
          </w:p>
        </w:tc>
        <w:tc>
          <w:tcPr>
            <w:tcW w:w="1890" w:type="dxa"/>
            <w:noWrap/>
            <w:vAlign w:val="center"/>
          </w:tcPr>
          <w:p>
            <w:pPr>
              <w:keepNext w:val="0"/>
              <w:keepLines w:val="0"/>
              <w:suppressLineNumbers w:val="0"/>
              <w:spacing w:before="0" w:beforeAutospacing="0" w:after="0" w:afterAutospacing="0"/>
              <w:ind w:left="0" w:right="0"/>
              <w:jc w:val="center"/>
              <w:rPr>
                <w:szCs w:val="22"/>
              </w:rPr>
            </w:pPr>
          </w:p>
        </w:tc>
        <w:tc>
          <w:tcPr>
            <w:tcW w:w="1157" w:type="dxa"/>
            <w:noWrap/>
            <w:vAlign w:val="center"/>
          </w:tcPr>
          <w:p>
            <w:pPr>
              <w:keepNext w:val="0"/>
              <w:keepLines w:val="0"/>
              <w:suppressLineNumbers w:val="0"/>
              <w:spacing w:before="0" w:beforeAutospacing="0" w:after="0" w:afterAutospacing="0"/>
              <w:ind w:left="0" w:right="0"/>
              <w:jc w:val="center"/>
              <w:rPr>
                <w:szCs w:val="22"/>
              </w:rPr>
            </w:pPr>
          </w:p>
        </w:tc>
      </w:tr>
    </w:tbl>
    <w:p>
      <w:pPr>
        <w:spacing w:line="360" w:lineRule="auto"/>
        <w:ind w:firstLine="420" w:firstLineChars="200"/>
        <w:rPr>
          <w:rFonts w:ascii="宋体" w:hAnsi="宋体"/>
        </w:rPr>
      </w:pPr>
      <w:r>
        <w:rPr>
          <w:rFonts w:hint="eastAsia"/>
        </w:rPr>
        <w:t>注</w:t>
      </w:r>
      <w:r>
        <w:rPr>
          <w:rFonts w:hint="eastAsia" w:ascii="宋体" w:hAnsi="宋体"/>
        </w:rPr>
        <w:t>：</w:t>
      </w:r>
    </w:p>
    <w:p>
      <w:pPr>
        <w:spacing w:line="360" w:lineRule="auto"/>
        <w:ind w:firstLine="420" w:firstLineChars="200"/>
        <w:rPr>
          <w:rFonts w:ascii="宋体" w:hAnsi="宋体" w:cs="宋体"/>
          <w:b/>
          <w:bCs/>
          <w:szCs w:val="21"/>
        </w:rPr>
      </w:pPr>
      <w:r>
        <w:rPr>
          <w:rFonts w:hint="eastAsia" w:ascii="宋体" w:hAnsi="宋体"/>
        </w:rPr>
        <w:t>1.投标人必须对应招标文件</w:t>
      </w:r>
      <w:r>
        <w:rPr>
          <w:rFonts w:hint="eastAsia" w:ascii="宋体" w:hAnsi="宋体"/>
          <w:b/>
        </w:rPr>
        <w:t>“用户需求书”中的内容逐条响应</w:t>
      </w:r>
      <w:r>
        <w:rPr>
          <w:rFonts w:hint="eastAsia" w:ascii="宋体" w:hAnsi="宋体"/>
        </w:rPr>
        <w:t>。如有缺漏，缺漏项视同不符合招标要求。</w:t>
      </w:r>
    </w:p>
    <w:p>
      <w:pPr>
        <w:spacing w:line="360" w:lineRule="auto"/>
        <w:ind w:firstLine="420" w:firstLineChars="200"/>
        <w:rPr>
          <w:rFonts w:ascii="宋体" w:hAnsi="宋体"/>
          <w:szCs w:val="21"/>
        </w:rPr>
      </w:pPr>
      <w:r>
        <w:rPr>
          <w:rFonts w:hint="eastAsia" w:ascii="宋体" w:hAnsi="宋体"/>
        </w:rPr>
        <w:t>2.</w:t>
      </w:r>
      <w:r>
        <w:rPr>
          <w:rFonts w:hint="eastAsia" w:ascii="宋体" w:hAnsi="宋体"/>
          <w:szCs w:val="21"/>
        </w:rPr>
        <w:t>如有偏离，应在“偏离情况”栏内注明“正偏离/负偏离”，并在“说明”栏内予以说明；如无偏离，应在 “偏离情况”栏内注明“无偏离”。</w:t>
      </w:r>
    </w:p>
    <w:p>
      <w:pPr>
        <w:spacing w:line="360" w:lineRule="auto"/>
        <w:ind w:firstLine="420" w:firstLineChars="200"/>
        <w:jc w:val="left"/>
        <w:rPr>
          <w:rFonts w:ascii="宋体" w:hAnsi="宋体"/>
        </w:rPr>
      </w:pPr>
      <w:r>
        <w:rPr>
          <w:rFonts w:hint="eastAsia" w:ascii="宋体" w:hAnsi="宋体"/>
        </w:rPr>
        <w:t>3.投标人响应采购需求应具体、明确，含糊不清、不确切或伪造、变造证明材料的，按照不完全响应处理。构成提供虚假材料的，移送监管部门查处。</w:t>
      </w:r>
    </w:p>
    <w:p>
      <w:pPr>
        <w:spacing w:line="360" w:lineRule="auto"/>
        <w:ind w:firstLine="420" w:firstLineChars="200"/>
        <w:jc w:val="left"/>
        <w:rPr>
          <w:rFonts w:ascii="宋体" w:hAnsi="宋体"/>
        </w:rPr>
      </w:pPr>
    </w:p>
    <w:p>
      <w:pPr>
        <w:spacing w:line="360" w:lineRule="auto"/>
        <w:ind w:firstLine="420" w:firstLineChars="200"/>
        <w:jc w:val="left"/>
        <w:rPr>
          <w:rFonts w:ascii="宋体" w:hAnsi="宋体"/>
          <w:szCs w:val="21"/>
        </w:rPr>
      </w:pPr>
    </w:p>
    <w:p>
      <w:pPr>
        <w:spacing w:line="360" w:lineRule="auto"/>
        <w:ind w:firstLine="3885" w:firstLineChars="1850"/>
        <w:rPr>
          <w:rFonts w:ascii="宋体" w:hAnsi="宋体"/>
          <w:szCs w:val="21"/>
        </w:rPr>
      </w:pPr>
      <w:r>
        <w:rPr>
          <w:rFonts w:hint="eastAsia" w:ascii="宋体" w:hAnsi="宋体"/>
          <w:szCs w:val="21"/>
        </w:rPr>
        <w:t>投标人全称（盖公章）：</w:t>
      </w:r>
    </w:p>
    <w:p>
      <w:pPr>
        <w:spacing w:line="360" w:lineRule="auto"/>
        <w:ind w:left="3885" w:leftChars="200" w:hanging="3465" w:hangingChars="1650"/>
        <w:rPr>
          <w:rFonts w:ascii="宋体" w:hAnsi="宋体"/>
        </w:rPr>
      </w:pPr>
      <w:r>
        <w:rPr>
          <w:rFonts w:hint="eastAsia" w:ascii="宋体" w:hAnsi="宋体"/>
        </w:rPr>
        <w:t xml:space="preserve">                                 法定代表人或授权代表（签字或盖章）：</w:t>
      </w:r>
    </w:p>
    <w:p>
      <w:pPr>
        <w:spacing w:afterLines="3000" w:line="360" w:lineRule="auto"/>
        <w:ind w:left="3885" w:leftChars="200" w:hanging="3465" w:hangingChars="1650"/>
        <w:rPr>
          <w:rFonts w:ascii="宋体" w:hAnsi="宋体"/>
        </w:rPr>
      </w:pPr>
      <w:r>
        <w:rPr>
          <w:rFonts w:hint="eastAsia" w:ascii="宋体" w:hAnsi="宋体"/>
        </w:rPr>
        <w:t xml:space="preserve">                                 日       期：</w:t>
      </w:r>
    </w:p>
    <w:p>
      <w:pPr>
        <w:pageBreakBefore/>
        <w:tabs>
          <w:tab w:val="left" w:pos="7980"/>
        </w:tabs>
        <w:jc w:val="left"/>
        <w:rPr>
          <w:rFonts w:ascii="宋体" w:hAnsi="宋体"/>
          <w:b/>
        </w:rPr>
      </w:pPr>
      <w:r>
        <w:rPr>
          <w:rFonts w:hint="eastAsia" w:ascii="宋体" w:hAnsi="宋体"/>
          <w:b/>
        </w:rPr>
        <w:t>3.同类项目业绩</w:t>
      </w:r>
    </w:p>
    <w:p>
      <w:pPr>
        <w:spacing w:line="360" w:lineRule="auto"/>
        <w:rPr>
          <w:rFonts w:ascii="宋体" w:hAnsi="宋体"/>
        </w:rPr>
      </w:pPr>
    </w:p>
    <w:p>
      <w:pPr>
        <w:spacing w:line="360" w:lineRule="auto"/>
        <w:jc w:val="center"/>
        <w:rPr>
          <w:rFonts w:ascii="宋体" w:hAnsi="宋体"/>
          <w:b/>
          <w:sz w:val="28"/>
          <w:szCs w:val="28"/>
        </w:rPr>
      </w:pPr>
      <w:r>
        <w:rPr>
          <w:rFonts w:hint="eastAsia" w:ascii="宋体" w:hAnsi="宋体"/>
          <w:b/>
          <w:sz w:val="28"/>
          <w:szCs w:val="28"/>
        </w:rPr>
        <w:t>同类项目业绩</w:t>
      </w:r>
    </w:p>
    <w:p>
      <w:pPr>
        <w:spacing w:line="480" w:lineRule="auto"/>
        <w:ind w:firstLine="210" w:firstLineChars="100"/>
        <w:rPr>
          <w:rFonts w:ascii="宋体" w:hAnsi="宋体"/>
          <w:szCs w:val="21"/>
        </w:rPr>
      </w:pPr>
      <w:r>
        <w:rPr>
          <w:rFonts w:hint="eastAsia" w:ascii="宋体" w:hAnsi="宋体"/>
          <w:szCs w:val="21"/>
        </w:rPr>
        <w:t xml:space="preserve">项目名称： </w:t>
      </w:r>
    </w:p>
    <w:tbl>
      <w:tblPr>
        <w:tblStyle w:val="44"/>
        <w:tblW w:w="9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430"/>
        <w:gridCol w:w="1740"/>
        <w:gridCol w:w="1700"/>
        <w:gridCol w:w="1690"/>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910" w:type="dxa"/>
            <w:noWrap/>
            <w:vAlign w:val="center"/>
          </w:tcPr>
          <w:p>
            <w:pPr>
              <w:keepNext w:val="0"/>
              <w:keepLines w:val="0"/>
              <w:suppressLineNumbers w:val="0"/>
              <w:spacing w:before="0" w:beforeAutospacing="0" w:after="0" w:afterAutospacing="0"/>
              <w:ind w:left="0" w:right="0"/>
              <w:jc w:val="center"/>
              <w:rPr>
                <w:rFonts w:ascii="宋体" w:hAnsi="宋体"/>
                <w:b/>
                <w:szCs w:val="22"/>
              </w:rPr>
            </w:pPr>
            <w:r>
              <w:rPr>
                <w:rFonts w:hint="eastAsia" w:ascii="宋体" w:hAnsi="宋体"/>
                <w:b/>
                <w:szCs w:val="22"/>
              </w:rPr>
              <w:t>序号</w:t>
            </w:r>
          </w:p>
        </w:tc>
        <w:tc>
          <w:tcPr>
            <w:tcW w:w="1430" w:type="dxa"/>
            <w:noWrap/>
            <w:vAlign w:val="center"/>
          </w:tcPr>
          <w:p>
            <w:pPr>
              <w:keepNext w:val="0"/>
              <w:keepLines w:val="0"/>
              <w:suppressLineNumbers w:val="0"/>
              <w:spacing w:before="0" w:beforeAutospacing="0" w:after="0" w:afterAutospacing="0"/>
              <w:ind w:left="0" w:right="0"/>
              <w:jc w:val="center"/>
              <w:rPr>
                <w:rFonts w:ascii="宋体" w:hAnsi="宋体"/>
                <w:b/>
                <w:szCs w:val="22"/>
              </w:rPr>
            </w:pPr>
            <w:r>
              <w:rPr>
                <w:rFonts w:hint="eastAsia" w:ascii="宋体" w:hAnsi="宋体"/>
                <w:b/>
                <w:bCs/>
                <w:szCs w:val="21"/>
              </w:rPr>
              <w:t>客户名称</w:t>
            </w:r>
          </w:p>
        </w:tc>
        <w:tc>
          <w:tcPr>
            <w:tcW w:w="1740" w:type="dxa"/>
            <w:noWrap/>
            <w:vAlign w:val="center"/>
          </w:tcPr>
          <w:p>
            <w:pPr>
              <w:keepNext w:val="0"/>
              <w:keepLines w:val="0"/>
              <w:suppressLineNumbers w:val="0"/>
              <w:spacing w:before="0" w:beforeAutospacing="0" w:after="0" w:afterAutospacing="0"/>
              <w:ind w:left="0" w:right="0"/>
              <w:jc w:val="center"/>
              <w:rPr>
                <w:rFonts w:ascii="宋体" w:hAnsi="宋体"/>
                <w:b/>
                <w:bCs/>
                <w:szCs w:val="21"/>
              </w:rPr>
            </w:pPr>
            <w:r>
              <w:rPr>
                <w:rFonts w:hint="eastAsia" w:ascii="宋体" w:hAnsi="宋体"/>
                <w:b/>
                <w:bCs/>
                <w:szCs w:val="21"/>
              </w:rPr>
              <w:t>项目名称</w:t>
            </w:r>
          </w:p>
        </w:tc>
        <w:tc>
          <w:tcPr>
            <w:tcW w:w="1700" w:type="dxa"/>
            <w:noWrap/>
            <w:vAlign w:val="center"/>
          </w:tcPr>
          <w:p>
            <w:pPr>
              <w:keepNext w:val="0"/>
              <w:keepLines w:val="0"/>
              <w:suppressLineNumbers w:val="0"/>
              <w:spacing w:before="0" w:beforeAutospacing="0" w:after="0" w:afterAutospacing="0"/>
              <w:ind w:left="0" w:right="0"/>
              <w:jc w:val="center"/>
              <w:rPr>
                <w:rFonts w:ascii="宋体" w:hAnsi="宋体"/>
                <w:b/>
                <w:bCs/>
                <w:szCs w:val="21"/>
              </w:rPr>
            </w:pPr>
            <w:r>
              <w:rPr>
                <w:rFonts w:hint="eastAsia" w:ascii="宋体" w:hAnsi="宋体"/>
                <w:b/>
                <w:bCs/>
                <w:szCs w:val="21"/>
              </w:rPr>
              <w:t>合同金额（万元）</w:t>
            </w:r>
          </w:p>
        </w:tc>
        <w:tc>
          <w:tcPr>
            <w:tcW w:w="1690" w:type="dxa"/>
            <w:noWrap/>
            <w:vAlign w:val="center"/>
          </w:tcPr>
          <w:p>
            <w:pPr>
              <w:keepNext w:val="0"/>
              <w:keepLines w:val="0"/>
              <w:suppressLineNumbers w:val="0"/>
              <w:spacing w:before="0" w:beforeAutospacing="0" w:after="0" w:afterAutospacing="0"/>
              <w:ind w:left="0" w:right="0"/>
              <w:jc w:val="center"/>
              <w:rPr>
                <w:rFonts w:ascii="宋体" w:hAnsi="宋体"/>
                <w:b/>
                <w:szCs w:val="22"/>
              </w:rPr>
            </w:pPr>
            <w:r>
              <w:rPr>
                <w:rFonts w:hint="eastAsia" w:ascii="宋体" w:hAnsi="宋体"/>
                <w:b/>
                <w:bCs/>
                <w:szCs w:val="21"/>
              </w:rPr>
              <w:t>合同起止时间</w:t>
            </w:r>
          </w:p>
        </w:tc>
        <w:tc>
          <w:tcPr>
            <w:tcW w:w="1632" w:type="dxa"/>
            <w:noWrap/>
            <w:vAlign w:val="center"/>
          </w:tcPr>
          <w:p>
            <w:pPr>
              <w:keepNext w:val="0"/>
              <w:keepLines w:val="0"/>
              <w:suppressLineNumbers w:val="0"/>
              <w:spacing w:before="0" w:beforeAutospacing="0" w:after="0" w:afterAutospacing="0"/>
              <w:ind w:left="0" w:right="0"/>
              <w:jc w:val="center"/>
              <w:rPr>
                <w:rFonts w:ascii="宋体" w:hAnsi="宋体"/>
                <w:b/>
                <w:szCs w:val="22"/>
              </w:rPr>
            </w:pPr>
            <w:r>
              <w:rPr>
                <w:rFonts w:hint="eastAsia" w:ascii="宋体" w:hAnsi="宋体"/>
                <w:b/>
                <w:szCs w:val="22"/>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910" w:type="dxa"/>
            <w:noWrap/>
            <w:vAlign w:val="center"/>
          </w:tcPr>
          <w:p>
            <w:pPr>
              <w:keepNext w:val="0"/>
              <w:keepLines w:val="0"/>
              <w:suppressLineNumbers w:val="0"/>
              <w:spacing w:before="0" w:beforeAutospacing="0" w:after="0" w:afterAutospacing="0" w:line="400" w:lineRule="exact"/>
              <w:ind w:left="0" w:right="0"/>
              <w:jc w:val="center"/>
              <w:rPr>
                <w:rFonts w:ascii="宋体" w:hAnsi="宋体"/>
                <w:szCs w:val="22"/>
              </w:rPr>
            </w:pPr>
          </w:p>
        </w:tc>
        <w:tc>
          <w:tcPr>
            <w:tcW w:w="1430" w:type="dxa"/>
            <w:noWrap/>
            <w:vAlign w:val="center"/>
          </w:tcPr>
          <w:p>
            <w:pPr>
              <w:keepNext w:val="0"/>
              <w:keepLines w:val="0"/>
              <w:suppressLineNumbers w:val="0"/>
              <w:spacing w:before="0" w:beforeAutospacing="0" w:after="0" w:afterAutospacing="0" w:line="400" w:lineRule="exact"/>
              <w:ind w:left="0" w:right="0"/>
              <w:jc w:val="center"/>
              <w:rPr>
                <w:rFonts w:ascii="宋体" w:hAnsi="宋体"/>
                <w:szCs w:val="22"/>
              </w:rPr>
            </w:pPr>
          </w:p>
        </w:tc>
        <w:tc>
          <w:tcPr>
            <w:tcW w:w="1740" w:type="dxa"/>
            <w:noWrap/>
            <w:vAlign w:val="center"/>
          </w:tcPr>
          <w:p>
            <w:pPr>
              <w:keepNext w:val="0"/>
              <w:keepLines w:val="0"/>
              <w:suppressLineNumbers w:val="0"/>
              <w:spacing w:before="0" w:beforeAutospacing="0" w:after="0" w:afterAutospacing="0" w:line="400" w:lineRule="exact"/>
              <w:ind w:left="0" w:right="0"/>
              <w:jc w:val="center"/>
              <w:rPr>
                <w:rFonts w:ascii="宋体" w:hAnsi="宋体"/>
                <w:szCs w:val="22"/>
              </w:rPr>
            </w:pPr>
          </w:p>
        </w:tc>
        <w:tc>
          <w:tcPr>
            <w:tcW w:w="1700" w:type="dxa"/>
            <w:noWrap/>
            <w:vAlign w:val="center"/>
          </w:tcPr>
          <w:p>
            <w:pPr>
              <w:keepNext w:val="0"/>
              <w:keepLines w:val="0"/>
              <w:suppressLineNumbers w:val="0"/>
              <w:spacing w:before="0" w:beforeAutospacing="0" w:after="0" w:afterAutospacing="0" w:line="400" w:lineRule="exact"/>
              <w:ind w:left="0" w:right="0"/>
              <w:jc w:val="center"/>
              <w:rPr>
                <w:rFonts w:ascii="宋体" w:hAnsi="宋体"/>
                <w:szCs w:val="22"/>
              </w:rPr>
            </w:pPr>
          </w:p>
        </w:tc>
        <w:tc>
          <w:tcPr>
            <w:tcW w:w="1690" w:type="dxa"/>
            <w:noWrap/>
            <w:vAlign w:val="center"/>
          </w:tcPr>
          <w:p>
            <w:pPr>
              <w:keepNext w:val="0"/>
              <w:keepLines w:val="0"/>
              <w:suppressLineNumbers w:val="0"/>
              <w:spacing w:before="0" w:beforeAutospacing="0" w:after="0" w:afterAutospacing="0" w:line="400" w:lineRule="exact"/>
              <w:ind w:left="0" w:right="0"/>
              <w:jc w:val="center"/>
              <w:rPr>
                <w:rFonts w:ascii="宋体" w:hAnsi="宋体"/>
                <w:szCs w:val="22"/>
              </w:rPr>
            </w:pPr>
          </w:p>
        </w:tc>
        <w:tc>
          <w:tcPr>
            <w:tcW w:w="1632" w:type="dxa"/>
            <w:noWrap/>
            <w:vAlign w:val="center"/>
          </w:tcPr>
          <w:p>
            <w:pPr>
              <w:keepNext w:val="0"/>
              <w:keepLines w:val="0"/>
              <w:suppressLineNumbers w:val="0"/>
              <w:spacing w:before="0" w:beforeAutospacing="0" w:after="0" w:afterAutospacing="0" w:line="400" w:lineRule="exact"/>
              <w:ind w:left="0" w:right="0"/>
              <w:jc w:val="cente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910" w:type="dxa"/>
            <w:noWrap/>
            <w:vAlign w:val="center"/>
          </w:tcPr>
          <w:p>
            <w:pPr>
              <w:keepNext w:val="0"/>
              <w:keepLines w:val="0"/>
              <w:suppressLineNumbers w:val="0"/>
              <w:spacing w:before="0" w:beforeAutospacing="0" w:after="0" w:afterAutospacing="0" w:line="400" w:lineRule="exact"/>
              <w:ind w:left="0" w:right="0"/>
              <w:jc w:val="center"/>
              <w:rPr>
                <w:rFonts w:ascii="宋体" w:hAnsi="宋体"/>
                <w:szCs w:val="22"/>
              </w:rPr>
            </w:pPr>
          </w:p>
        </w:tc>
        <w:tc>
          <w:tcPr>
            <w:tcW w:w="1430" w:type="dxa"/>
            <w:noWrap/>
            <w:vAlign w:val="center"/>
          </w:tcPr>
          <w:p>
            <w:pPr>
              <w:keepNext w:val="0"/>
              <w:keepLines w:val="0"/>
              <w:suppressLineNumbers w:val="0"/>
              <w:spacing w:before="0" w:beforeAutospacing="0" w:after="0" w:afterAutospacing="0" w:line="400" w:lineRule="exact"/>
              <w:ind w:left="0" w:right="0"/>
              <w:jc w:val="center"/>
              <w:rPr>
                <w:rFonts w:ascii="宋体" w:hAnsi="宋体"/>
                <w:szCs w:val="22"/>
              </w:rPr>
            </w:pPr>
          </w:p>
        </w:tc>
        <w:tc>
          <w:tcPr>
            <w:tcW w:w="1740" w:type="dxa"/>
            <w:noWrap/>
            <w:vAlign w:val="center"/>
          </w:tcPr>
          <w:p>
            <w:pPr>
              <w:keepNext w:val="0"/>
              <w:keepLines w:val="0"/>
              <w:suppressLineNumbers w:val="0"/>
              <w:spacing w:before="0" w:beforeAutospacing="0" w:after="0" w:afterAutospacing="0" w:line="400" w:lineRule="exact"/>
              <w:ind w:left="0" w:right="0"/>
              <w:jc w:val="center"/>
              <w:rPr>
                <w:rFonts w:ascii="宋体" w:hAnsi="宋体"/>
                <w:szCs w:val="22"/>
              </w:rPr>
            </w:pPr>
          </w:p>
        </w:tc>
        <w:tc>
          <w:tcPr>
            <w:tcW w:w="1700" w:type="dxa"/>
            <w:noWrap/>
            <w:vAlign w:val="center"/>
          </w:tcPr>
          <w:p>
            <w:pPr>
              <w:keepNext w:val="0"/>
              <w:keepLines w:val="0"/>
              <w:suppressLineNumbers w:val="0"/>
              <w:spacing w:before="0" w:beforeAutospacing="0" w:after="0" w:afterAutospacing="0" w:line="400" w:lineRule="exact"/>
              <w:ind w:left="0" w:right="0"/>
              <w:jc w:val="center"/>
              <w:rPr>
                <w:rFonts w:ascii="宋体" w:hAnsi="宋体"/>
                <w:szCs w:val="22"/>
              </w:rPr>
            </w:pPr>
          </w:p>
        </w:tc>
        <w:tc>
          <w:tcPr>
            <w:tcW w:w="1690" w:type="dxa"/>
            <w:noWrap/>
            <w:vAlign w:val="center"/>
          </w:tcPr>
          <w:p>
            <w:pPr>
              <w:keepNext w:val="0"/>
              <w:keepLines w:val="0"/>
              <w:suppressLineNumbers w:val="0"/>
              <w:spacing w:before="0" w:beforeAutospacing="0" w:after="0" w:afterAutospacing="0" w:line="400" w:lineRule="exact"/>
              <w:ind w:left="0" w:right="0"/>
              <w:jc w:val="center"/>
              <w:rPr>
                <w:rFonts w:ascii="宋体" w:hAnsi="宋体"/>
                <w:szCs w:val="22"/>
              </w:rPr>
            </w:pPr>
          </w:p>
        </w:tc>
        <w:tc>
          <w:tcPr>
            <w:tcW w:w="1632" w:type="dxa"/>
            <w:noWrap/>
            <w:vAlign w:val="center"/>
          </w:tcPr>
          <w:p>
            <w:pPr>
              <w:keepNext w:val="0"/>
              <w:keepLines w:val="0"/>
              <w:suppressLineNumbers w:val="0"/>
              <w:spacing w:before="0" w:beforeAutospacing="0" w:after="0" w:afterAutospacing="0" w:line="400" w:lineRule="exact"/>
              <w:ind w:left="0" w:right="0"/>
              <w:jc w:val="cente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910" w:type="dxa"/>
            <w:noWrap/>
            <w:vAlign w:val="center"/>
          </w:tcPr>
          <w:p>
            <w:pPr>
              <w:keepNext w:val="0"/>
              <w:keepLines w:val="0"/>
              <w:suppressLineNumbers w:val="0"/>
              <w:spacing w:before="0" w:beforeAutospacing="0" w:after="0" w:afterAutospacing="0" w:line="400" w:lineRule="exact"/>
              <w:ind w:left="0" w:right="0"/>
              <w:jc w:val="center"/>
              <w:rPr>
                <w:rFonts w:ascii="宋体" w:hAnsi="宋体"/>
                <w:szCs w:val="22"/>
              </w:rPr>
            </w:pPr>
          </w:p>
        </w:tc>
        <w:tc>
          <w:tcPr>
            <w:tcW w:w="1430" w:type="dxa"/>
            <w:noWrap/>
            <w:vAlign w:val="center"/>
          </w:tcPr>
          <w:p>
            <w:pPr>
              <w:keepNext w:val="0"/>
              <w:keepLines w:val="0"/>
              <w:suppressLineNumbers w:val="0"/>
              <w:spacing w:before="0" w:beforeAutospacing="0" w:after="0" w:afterAutospacing="0" w:line="400" w:lineRule="exact"/>
              <w:ind w:left="0" w:right="0"/>
              <w:jc w:val="center"/>
              <w:rPr>
                <w:rFonts w:ascii="宋体" w:hAnsi="宋体"/>
                <w:szCs w:val="22"/>
              </w:rPr>
            </w:pPr>
          </w:p>
        </w:tc>
        <w:tc>
          <w:tcPr>
            <w:tcW w:w="1740" w:type="dxa"/>
            <w:noWrap/>
            <w:vAlign w:val="center"/>
          </w:tcPr>
          <w:p>
            <w:pPr>
              <w:keepNext w:val="0"/>
              <w:keepLines w:val="0"/>
              <w:suppressLineNumbers w:val="0"/>
              <w:spacing w:before="0" w:beforeAutospacing="0" w:after="0" w:afterAutospacing="0" w:line="400" w:lineRule="exact"/>
              <w:ind w:left="0" w:right="0"/>
              <w:jc w:val="center"/>
              <w:rPr>
                <w:rFonts w:ascii="宋体" w:hAnsi="宋体"/>
                <w:szCs w:val="22"/>
              </w:rPr>
            </w:pPr>
          </w:p>
        </w:tc>
        <w:tc>
          <w:tcPr>
            <w:tcW w:w="1700" w:type="dxa"/>
            <w:noWrap/>
            <w:vAlign w:val="center"/>
          </w:tcPr>
          <w:p>
            <w:pPr>
              <w:keepNext w:val="0"/>
              <w:keepLines w:val="0"/>
              <w:suppressLineNumbers w:val="0"/>
              <w:spacing w:before="0" w:beforeAutospacing="0" w:after="0" w:afterAutospacing="0" w:line="400" w:lineRule="exact"/>
              <w:ind w:left="0" w:right="0"/>
              <w:jc w:val="center"/>
              <w:rPr>
                <w:rFonts w:ascii="宋体" w:hAnsi="宋体"/>
                <w:szCs w:val="22"/>
              </w:rPr>
            </w:pPr>
          </w:p>
        </w:tc>
        <w:tc>
          <w:tcPr>
            <w:tcW w:w="1690" w:type="dxa"/>
            <w:noWrap/>
            <w:vAlign w:val="center"/>
          </w:tcPr>
          <w:p>
            <w:pPr>
              <w:keepNext w:val="0"/>
              <w:keepLines w:val="0"/>
              <w:suppressLineNumbers w:val="0"/>
              <w:spacing w:before="0" w:beforeAutospacing="0" w:after="0" w:afterAutospacing="0" w:line="400" w:lineRule="exact"/>
              <w:ind w:left="0" w:right="0"/>
              <w:jc w:val="center"/>
              <w:rPr>
                <w:rFonts w:ascii="宋体" w:hAnsi="宋体"/>
                <w:szCs w:val="22"/>
              </w:rPr>
            </w:pPr>
          </w:p>
        </w:tc>
        <w:tc>
          <w:tcPr>
            <w:tcW w:w="1632" w:type="dxa"/>
            <w:noWrap/>
            <w:vAlign w:val="center"/>
          </w:tcPr>
          <w:p>
            <w:pPr>
              <w:keepNext w:val="0"/>
              <w:keepLines w:val="0"/>
              <w:suppressLineNumbers w:val="0"/>
              <w:spacing w:before="0" w:beforeAutospacing="0" w:after="0" w:afterAutospacing="0" w:line="400" w:lineRule="exact"/>
              <w:ind w:left="0" w:right="0"/>
              <w:jc w:val="center"/>
              <w:rPr>
                <w:rFonts w:ascii="宋体" w:hAnsi="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910" w:type="dxa"/>
            <w:noWrap/>
            <w:vAlign w:val="center"/>
          </w:tcPr>
          <w:p>
            <w:pPr>
              <w:keepNext w:val="0"/>
              <w:keepLines w:val="0"/>
              <w:suppressLineNumbers w:val="0"/>
              <w:spacing w:before="0" w:beforeAutospacing="0" w:after="0" w:afterAutospacing="0" w:line="400" w:lineRule="exact"/>
              <w:ind w:left="0" w:right="0"/>
              <w:jc w:val="center"/>
              <w:rPr>
                <w:rFonts w:ascii="宋体" w:hAnsi="宋体"/>
                <w:szCs w:val="22"/>
              </w:rPr>
            </w:pPr>
          </w:p>
        </w:tc>
        <w:tc>
          <w:tcPr>
            <w:tcW w:w="1430" w:type="dxa"/>
            <w:noWrap/>
            <w:vAlign w:val="center"/>
          </w:tcPr>
          <w:p>
            <w:pPr>
              <w:keepNext w:val="0"/>
              <w:keepLines w:val="0"/>
              <w:suppressLineNumbers w:val="0"/>
              <w:spacing w:before="0" w:beforeAutospacing="0" w:after="0" w:afterAutospacing="0" w:line="400" w:lineRule="exact"/>
              <w:ind w:left="0" w:right="0"/>
              <w:jc w:val="center"/>
              <w:rPr>
                <w:rFonts w:ascii="宋体" w:hAnsi="宋体"/>
                <w:szCs w:val="22"/>
              </w:rPr>
            </w:pPr>
          </w:p>
        </w:tc>
        <w:tc>
          <w:tcPr>
            <w:tcW w:w="1740" w:type="dxa"/>
            <w:noWrap/>
            <w:vAlign w:val="center"/>
          </w:tcPr>
          <w:p>
            <w:pPr>
              <w:keepNext w:val="0"/>
              <w:keepLines w:val="0"/>
              <w:suppressLineNumbers w:val="0"/>
              <w:spacing w:before="0" w:beforeAutospacing="0" w:after="0" w:afterAutospacing="0" w:line="400" w:lineRule="exact"/>
              <w:ind w:left="0" w:right="0"/>
              <w:jc w:val="center"/>
              <w:rPr>
                <w:rFonts w:ascii="宋体" w:hAnsi="宋体"/>
                <w:szCs w:val="22"/>
              </w:rPr>
            </w:pPr>
          </w:p>
        </w:tc>
        <w:tc>
          <w:tcPr>
            <w:tcW w:w="1700" w:type="dxa"/>
            <w:noWrap/>
            <w:vAlign w:val="center"/>
          </w:tcPr>
          <w:p>
            <w:pPr>
              <w:keepNext w:val="0"/>
              <w:keepLines w:val="0"/>
              <w:suppressLineNumbers w:val="0"/>
              <w:spacing w:before="0" w:beforeAutospacing="0" w:after="0" w:afterAutospacing="0" w:line="400" w:lineRule="exact"/>
              <w:ind w:left="0" w:right="0"/>
              <w:jc w:val="center"/>
              <w:rPr>
                <w:rFonts w:ascii="宋体" w:hAnsi="宋体"/>
                <w:szCs w:val="22"/>
              </w:rPr>
            </w:pPr>
          </w:p>
        </w:tc>
        <w:tc>
          <w:tcPr>
            <w:tcW w:w="1690" w:type="dxa"/>
            <w:noWrap/>
            <w:vAlign w:val="center"/>
          </w:tcPr>
          <w:p>
            <w:pPr>
              <w:keepNext w:val="0"/>
              <w:keepLines w:val="0"/>
              <w:suppressLineNumbers w:val="0"/>
              <w:spacing w:before="0" w:beforeAutospacing="0" w:after="0" w:afterAutospacing="0" w:line="400" w:lineRule="exact"/>
              <w:ind w:left="0" w:right="0"/>
              <w:jc w:val="center"/>
              <w:rPr>
                <w:rFonts w:ascii="宋体" w:hAnsi="宋体"/>
                <w:szCs w:val="22"/>
              </w:rPr>
            </w:pPr>
          </w:p>
        </w:tc>
        <w:tc>
          <w:tcPr>
            <w:tcW w:w="1632" w:type="dxa"/>
            <w:noWrap/>
            <w:vAlign w:val="center"/>
          </w:tcPr>
          <w:p>
            <w:pPr>
              <w:keepNext w:val="0"/>
              <w:keepLines w:val="0"/>
              <w:suppressLineNumbers w:val="0"/>
              <w:spacing w:before="0" w:beforeAutospacing="0" w:after="0" w:afterAutospacing="0" w:line="400" w:lineRule="exact"/>
              <w:ind w:left="0" w:right="0"/>
              <w:jc w:val="center"/>
              <w:rPr>
                <w:rFonts w:ascii="宋体" w:hAnsi="宋体"/>
                <w:szCs w:val="22"/>
              </w:rPr>
            </w:pPr>
          </w:p>
        </w:tc>
      </w:tr>
    </w:tbl>
    <w:p>
      <w:pPr>
        <w:rPr>
          <w:rFonts w:ascii="宋体" w:hAnsi="宋体"/>
          <w:szCs w:val="21"/>
        </w:rPr>
      </w:pPr>
      <w:r>
        <w:rPr>
          <w:rFonts w:hint="eastAsia" w:ascii="宋体" w:hAnsi="宋体"/>
          <w:szCs w:val="21"/>
        </w:rPr>
        <w:t>注：根据评审表的要求提交相应资料。</w:t>
      </w:r>
    </w:p>
    <w:p>
      <w:pPr>
        <w:rPr>
          <w:rFonts w:ascii="宋体" w:hAnsi="宋体"/>
          <w:szCs w:val="21"/>
        </w:rPr>
      </w:pPr>
    </w:p>
    <w:p>
      <w:pPr>
        <w:rPr>
          <w:rFonts w:ascii="宋体" w:hAnsi="宋体"/>
          <w:szCs w:val="21"/>
        </w:rPr>
      </w:pPr>
    </w:p>
    <w:p>
      <w:pPr>
        <w:spacing w:line="360" w:lineRule="auto"/>
        <w:ind w:firstLine="3885" w:firstLineChars="1850"/>
        <w:rPr>
          <w:rFonts w:ascii="宋体" w:hAnsi="宋体"/>
          <w:szCs w:val="21"/>
        </w:rPr>
      </w:pPr>
      <w:r>
        <w:rPr>
          <w:rFonts w:hint="eastAsia" w:ascii="宋体" w:hAnsi="宋体"/>
          <w:szCs w:val="21"/>
        </w:rPr>
        <w:t>投标人全称（盖公章）：</w:t>
      </w:r>
    </w:p>
    <w:p>
      <w:pPr>
        <w:spacing w:line="360" w:lineRule="auto"/>
        <w:ind w:left="3885" w:leftChars="200" w:hanging="3465" w:hangingChars="1650"/>
        <w:rPr>
          <w:rFonts w:ascii="宋体" w:hAnsi="宋体"/>
        </w:rPr>
      </w:pPr>
      <w:r>
        <w:rPr>
          <w:rFonts w:hint="eastAsia" w:ascii="宋体" w:hAnsi="宋体"/>
        </w:rPr>
        <w:t xml:space="preserve">                                 法定代表人或授权代表（签字或盖章）：</w:t>
      </w:r>
    </w:p>
    <w:p>
      <w:pPr>
        <w:spacing w:afterLines="3000" w:line="360" w:lineRule="auto"/>
        <w:ind w:left="3885" w:leftChars="200" w:hanging="3465" w:hangingChars="1650"/>
        <w:rPr>
          <w:rFonts w:ascii="宋体" w:hAnsi="宋体"/>
        </w:rPr>
      </w:pPr>
      <w:r>
        <w:rPr>
          <w:rFonts w:hint="eastAsia" w:ascii="宋体" w:hAnsi="宋体"/>
        </w:rPr>
        <w:t xml:space="preserve">                                 日       期：</w:t>
      </w:r>
    </w:p>
    <w:p>
      <w:pPr>
        <w:keepNext/>
        <w:keepLines/>
        <w:pageBreakBefore/>
        <w:widowControl/>
        <w:rPr>
          <w:b/>
        </w:rPr>
      </w:pPr>
      <w:r>
        <w:rPr>
          <w:rFonts w:hint="eastAsia"/>
          <w:b/>
        </w:rPr>
        <w:t>4.拟投入本项目人员情况</w:t>
      </w:r>
    </w:p>
    <w:p/>
    <w:p>
      <w:pPr>
        <w:jc w:val="center"/>
        <w:rPr>
          <w:b/>
          <w:sz w:val="28"/>
          <w:szCs w:val="28"/>
        </w:rPr>
      </w:pPr>
      <w:r>
        <w:rPr>
          <w:rFonts w:hint="eastAsia"/>
          <w:b/>
          <w:sz w:val="28"/>
          <w:szCs w:val="28"/>
        </w:rPr>
        <w:t>拟投入本项目人员情况</w:t>
      </w:r>
    </w:p>
    <w:p>
      <w:pPr>
        <w:ind w:firstLine="210" w:firstLineChars="100"/>
        <w:rPr>
          <w:rFonts w:ascii="宋体" w:hAnsi="宋体"/>
          <w:szCs w:val="21"/>
        </w:rPr>
      </w:pPr>
      <w:r>
        <w:rPr>
          <w:rFonts w:hint="eastAsia" w:ascii="宋体" w:hAnsi="宋体"/>
          <w:szCs w:val="21"/>
        </w:rPr>
        <w:t>项目名称：</w:t>
      </w:r>
    </w:p>
    <w:tbl>
      <w:tblPr>
        <w:tblStyle w:val="44"/>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1282"/>
        <w:gridCol w:w="1842"/>
        <w:gridCol w:w="1418"/>
        <w:gridCol w:w="1176"/>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8"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ascii="宋体" w:hAnsi="宋体"/>
                <w:b/>
                <w:szCs w:val="21"/>
              </w:rPr>
            </w:pPr>
            <w:r>
              <w:rPr>
                <w:rFonts w:hint="eastAsia" w:ascii="宋体" w:hAnsi="宋体"/>
                <w:b/>
                <w:szCs w:val="21"/>
              </w:rPr>
              <w:t>职责分工</w:t>
            </w:r>
          </w:p>
        </w:tc>
        <w:tc>
          <w:tcPr>
            <w:tcW w:w="1282" w:type="dxa"/>
            <w:tcBorders>
              <w:top w:val="single" w:color="auto" w:sz="4" w:space="0"/>
              <w:left w:val="single" w:color="auto" w:sz="4" w:space="0"/>
              <w:bottom w:val="single" w:color="auto" w:sz="4" w:space="0"/>
            </w:tcBorders>
            <w:noWrap/>
            <w:vAlign w:val="center"/>
          </w:tcPr>
          <w:p>
            <w:pPr>
              <w:keepNext w:val="0"/>
              <w:keepLines w:val="0"/>
              <w:suppressLineNumbers w:val="0"/>
              <w:spacing w:before="0" w:beforeAutospacing="0" w:after="0" w:afterAutospacing="0"/>
              <w:ind w:left="0" w:right="0"/>
              <w:jc w:val="center"/>
              <w:rPr>
                <w:rFonts w:ascii="宋体" w:hAnsi="宋体"/>
                <w:b/>
                <w:szCs w:val="21"/>
              </w:rPr>
            </w:pPr>
            <w:r>
              <w:rPr>
                <w:rFonts w:hint="eastAsia" w:ascii="宋体" w:hAnsi="宋体"/>
                <w:b/>
                <w:szCs w:val="21"/>
              </w:rPr>
              <w:t>姓名</w:t>
            </w:r>
          </w:p>
        </w:tc>
        <w:tc>
          <w:tcPr>
            <w:tcW w:w="1842" w:type="dxa"/>
            <w:tcBorders>
              <w:top w:val="single" w:color="auto" w:sz="4" w:space="0"/>
              <w:bottom w:val="single" w:color="auto" w:sz="4" w:space="0"/>
            </w:tcBorders>
            <w:noWrap/>
            <w:vAlign w:val="center"/>
          </w:tcPr>
          <w:p>
            <w:pPr>
              <w:keepNext w:val="0"/>
              <w:keepLines w:val="0"/>
              <w:suppressLineNumbers w:val="0"/>
              <w:spacing w:before="0" w:beforeAutospacing="0" w:after="0" w:afterAutospacing="0"/>
              <w:ind w:left="0" w:right="0"/>
              <w:jc w:val="center"/>
              <w:rPr>
                <w:rFonts w:ascii="宋体" w:hAnsi="宋体"/>
                <w:b/>
                <w:szCs w:val="21"/>
              </w:rPr>
            </w:pPr>
            <w:r>
              <w:rPr>
                <w:rFonts w:hint="eastAsia" w:ascii="宋体" w:hAnsi="宋体"/>
                <w:b/>
                <w:szCs w:val="21"/>
              </w:rPr>
              <w:t>岗位</w:t>
            </w:r>
          </w:p>
        </w:tc>
        <w:tc>
          <w:tcPr>
            <w:tcW w:w="1418" w:type="dxa"/>
            <w:tcBorders>
              <w:top w:val="single" w:color="auto" w:sz="4" w:space="0"/>
              <w:bottom w:val="single" w:color="auto" w:sz="4" w:space="0"/>
            </w:tcBorders>
            <w:noWrap/>
            <w:vAlign w:val="center"/>
          </w:tcPr>
          <w:p>
            <w:pPr>
              <w:keepNext w:val="0"/>
              <w:keepLines w:val="0"/>
              <w:suppressLineNumbers w:val="0"/>
              <w:spacing w:before="0" w:beforeAutospacing="0" w:after="0" w:afterAutospacing="0"/>
              <w:ind w:left="0" w:right="0"/>
              <w:jc w:val="center"/>
              <w:rPr>
                <w:rFonts w:ascii="宋体" w:hAnsi="宋体"/>
                <w:b/>
                <w:szCs w:val="21"/>
              </w:rPr>
            </w:pPr>
            <w:r>
              <w:rPr>
                <w:rFonts w:hint="eastAsia" w:ascii="宋体" w:hAnsi="宋体"/>
                <w:b/>
                <w:szCs w:val="21"/>
              </w:rPr>
              <w:t>职称/学历</w:t>
            </w:r>
          </w:p>
        </w:tc>
        <w:tc>
          <w:tcPr>
            <w:tcW w:w="1176" w:type="dxa"/>
            <w:tcBorders>
              <w:top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firstLine="12"/>
              <w:jc w:val="center"/>
              <w:rPr>
                <w:rFonts w:ascii="宋体" w:hAnsi="宋体"/>
                <w:b/>
                <w:szCs w:val="21"/>
              </w:rPr>
            </w:pPr>
            <w:r>
              <w:rPr>
                <w:rFonts w:hint="eastAsia" w:ascii="宋体" w:hAnsi="宋体"/>
                <w:b/>
                <w:szCs w:val="21"/>
              </w:rPr>
              <w:t>专业工龄</w:t>
            </w:r>
          </w:p>
        </w:tc>
        <w:tc>
          <w:tcPr>
            <w:tcW w:w="1567" w:type="dxa"/>
            <w:tcBorders>
              <w:top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firstLine="12"/>
              <w:jc w:val="center"/>
              <w:rPr>
                <w:rFonts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8" w:type="dxa"/>
            <w:tcBorders>
              <w:top w:val="single" w:color="auto" w:sz="4" w:space="0"/>
              <w:left w:val="single" w:color="auto" w:sz="4" w:space="0"/>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项目负责人</w:t>
            </w:r>
          </w:p>
        </w:tc>
        <w:tc>
          <w:tcPr>
            <w:tcW w:w="1282" w:type="dxa"/>
            <w:tcBorders>
              <w:top w:val="single" w:color="auto" w:sz="4" w:space="0"/>
              <w:left w:val="single" w:color="auto" w:sz="4" w:space="0"/>
              <w:bottom w:val="nil"/>
            </w:tcBorders>
            <w:noWrap/>
            <w:vAlign w:val="center"/>
          </w:tcPr>
          <w:p>
            <w:pPr>
              <w:keepNext w:val="0"/>
              <w:keepLines w:val="0"/>
              <w:suppressLineNumbers w:val="0"/>
              <w:spacing w:before="0" w:beforeAutospacing="0" w:after="0" w:afterAutospacing="0"/>
              <w:ind w:left="0" w:right="0"/>
              <w:jc w:val="center"/>
              <w:rPr>
                <w:rFonts w:ascii="宋体" w:hAnsi="宋体"/>
                <w:szCs w:val="21"/>
              </w:rPr>
            </w:pPr>
          </w:p>
        </w:tc>
        <w:tc>
          <w:tcPr>
            <w:tcW w:w="1842" w:type="dxa"/>
            <w:tcBorders>
              <w:top w:val="single" w:color="auto" w:sz="4" w:space="0"/>
              <w:bottom w:val="nil"/>
            </w:tcBorders>
            <w:noWrap/>
            <w:vAlign w:val="center"/>
          </w:tcPr>
          <w:p>
            <w:pPr>
              <w:pStyle w:val="135"/>
              <w:keepNext w:val="0"/>
              <w:keepLines w:val="0"/>
              <w:suppressLineNumbers w:val="0"/>
              <w:adjustRightInd/>
              <w:spacing w:before="0" w:beforeAutospacing="0" w:after="0" w:afterAutospacing="0" w:line="240" w:lineRule="auto"/>
              <w:ind w:left="0" w:right="0"/>
              <w:textAlignment w:val="auto"/>
              <w:rPr>
                <w:rFonts w:ascii="宋体" w:hAnsi="宋体"/>
                <w:snapToGrid/>
                <w:spacing w:val="0"/>
                <w:kern w:val="2"/>
                <w:sz w:val="21"/>
                <w:szCs w:val="21"/>
              </w:rPr>
            </w:pPr>
          </w:p>
        </w:tc>
        <w:tc>
          <w:tcPr>
            <w:tcW w:w="1418" w:type="dxa"/>
            <w:tcBorders>
              <w:top w:val="single" w:color="auto" w:sz="4" w:space="0"/>
              <w:bottom w:val="nil"/>
            </w:tcBorders>
            <w:noWrap/>
            <w:vAlign w:val="center"/>
          </w:tcPr>
          <w:p>
            <w:pPr>
              <w:keepNext w:val="0"/>
              <w:keepLines w:val="0"/>
              <w:suppressLineNumbers w:val="0"/>
              <w:spacing w:before="0" w:beforeAutospacing="0" w:after="0" w:afterAutospacing="0"/>
              <w:ind w:left="0" w:right="0"/>
              <w:jc w:val="center"/>
              <w:rPr>
                <w:rFonts w:ascii="宋体" w:hAnsi="宋体"/>
                <w:szCs w:val="21"/>
              </w:rPr>
            </w:pPr>
          </w:p>
        </w:tc>
        <w:tc>
          <w:tcPr>
            <w:tcW w:w="1176" w:type="dxa"/>
            <w:tcBorders>
              <w:top w:val="single" w:color="auto" w:sz="4" w:space="0"/>
              <w:bottom w:val="nil"/>
              <w:right w:val="single" w:color="auto" w:sz="4" w:space="0"/>
            </w:tcBorders>
            <w:noWrap/>
            <w:vAlign w:val="center"/>
          </w:tcPr>
          <w:p>
            <w:pPr>
              <w:keepNext w:val="0"/>
              <w:keepLines w:val="0"/>
              <w:suppressLineNumbers w:val="0"/>
              <w:spacing w:before="0" w:beforeAutospacing="0" w:after="0" w:afterAutospacing="0"/>
              <w:ind w:left="0" w:right="0" w:firstLine="12"/>
              <w:jc w:val="center"/>
              <w:rPr>
                <w:rFonts w:ascii="宋体" w:hAnsi="宋体"/>
                <w:szCs w:val="21"/>
              </w:rPr>
            </w:pPr>
          </w:p>
        </w:tc>
        <w:tc>
          <w:tcPr>
            <w:tcW w:w="1567" w:type="dxa"/>
            <w:tcBorders>
              <w:top w:val="single" w:color="auto" w:sz="4" w:space="0"/>
              <w:bottom w:val="nil"/>
              <w:right w:val="single" w:color="auto" w:sz="4" w:space="0"/>
            </w:tcBorders>
            <w:noWrap/>
            <w:vAlign w:val="center"/>
          </w:tcPr>
          <w:p>
            <w:pPr>
              <w:keepNext w:val="0"/>
              <w:keepLines w:val="0"/>
              <w:suppressLineNumbers w:val="0"/>
              <w:spacing w:before="0" w:beforeAutospacing="0" w:after="0" w:afterAutospacing="0"/>
              <w:ind w:left="0" w:right="0" w:firstLine="1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8" w:type="dxa"/>
            <w:vMerge w:val="restart"/>
            <w:tcBorders>
              <w:left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其他主要人员</w:t>
            </w:r>
          </w:p>
        </w:tc>
        <w:tc>
          <w:tcPr>
            <w:tcW w:w="1282" w:type="dxa"/>
            <w:tcBorders>
              <w:left w:val="single" w:color="auto" w:sz="4" w:space="0"/>
            </w:tcBorders>
            <w:noWrap/>
            <w:vAlign w:val="center"/>
          </w:tcPr>
          <w:p>
            <w:pPr>
              <w:keepNext w:val="0"/>
              <w:keepLines w:val="0"/>
              <w:suppressLineNumbers w:val="0"/>
              <w:spacing w:before="0" w:beforeAutospacing="0" w:after="0" w:afterAutospacing="0"/>
              <w:ind w:left="0" w:right="0"/>
              <w:jc w:val="center"/>
              <w:rPr>
                <w:rFonts w:ascii="宋体" w:hAnsi="宋体"/>
                <w:szCs w:val="21"/>
              </w:rPr>
            </w:pPr>
          </w:p>
        </w:tc>
        <w:tc>
          <w:tcPr>
            <w:tcW w:w="1842" w:type="dxa"/>
            <w:noWrap/>
            <w:vAlign w:val="center"/>
          </w:tcPr>
          <w:p>
            <w:pPr>
              <w:keepNext w:val="0"/>
              <w:keepLines w:val="0"/>
              <w:suppressLineNumbers w:val="0"/>
              <w:spacing w:before="0" w:beforeAutospacing="0" w:after="0" w:afterAutospacing="0"/>
              <w:ind w:left="0" w:right="0"/>
              <w:jc w:val="center"/>
              <w:rPr>
                <w:rFonts w:ascii="宋体" w:hAnsi="宋体"/>
                <w:szCs w:val="21"/>
              </w:rPr>
            </w:pPr>
          </w:p>
        </w:tc>
        <w:tc>
          <w:tcPr>
            <w:tcW w:w="1418" w:type="dxa"/>
            <w:noWrap/>
            <w:vAlign w:val="center"/>
          </w:tcPr>
          <w:p>
            <w:pPr>
              <w:keepNext w:val="0"/>
              <w:keepLines w:val="0"/>
              <w:suppressLineNumbers w:val="0"/>
              <w:spacing w:before="0" w:beforeAutospacing="0" w:after="0" w:afterAutospacing="0"/>
              <w:ind w:left="0" w:right="0"/>
              <w:jc w:val="center"/>
              <w:rPr>
                <w:rFonts w:ascii="宋体" w:hAnsi="宋体"/>
                <w:szCs w:val="21"/>
              </w:rPr>
            </w:pPr>
          </w:p>
        </w:tc>
        <w:tc>
          <w:tcPr>
            <w:tcW w:w="1176" w:type="dxa"/>
            <w:tcBorders>
              <w:right w:val="single" w:color="auto" w:sz="4" w:space="0"/>
            </w:tcBorders>
            <w:noWrap/>
            <w:vAlign w:val="center"/>
          </w:tcPr>
          <w:p>
            <w:pPr>
              <w:keepNext w:val="0"/>
              <w:keepLines w:val="0"/>
              <w:suppressLineNumbers w:val="0"/>
              <w:spacing w:before="0" w:beforeAutospacing="0" w:after="0" w:afterAutospacing="0"/>
              <w:ind w:left="0" w:right="0"/>
              <w:jc w:val="center"/>
              <w:rPr>
                <w:rFonts w:ascii="宋体" w:hAnsi="宋体"/>
                <w:szCs w:val="21"/>
              </w:rPr>
            </w:pPr>
          </w:p>
        </w:tc>
        <w:tc>
          <w:tcPr>
            <w:tcW w:w="1567" w:type="dxa"/>
            <w:tcBorders>
              <w:right w:val="single" w:color="auto" w:sz="4" w:space="0"/>
            </w:tcBorders>
            <w:noWrap/>
            <w:vAlign w:val="center"/>
          </w:tcPr>
          <w:p>
            <w:pPr>
              <w:keepNext w:val="0"/>
              <w:keepLines w:val="0"/>
              <w:suppressLineNumbers w:val="0"/>
              <w:spacing w:before="0" w:beforeAutospacing="0" w:after="0" w:afterAutospacing="0"/>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8" w:type="dxa"/>
            <w:vMerge w:val="continue"/>
            <w:tcBorders>
              <w:left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ascii="宋体" w:hAnsi="宋体"/>
                <w:szCs w:val="21"/>
              </w:rPr>
            </w:pPr>
          </w:p>
        </w:tc>
        <w:tc>
          <w:tcPr>
            <w:tcW w:w="1282" w:type="dxa"/>
            <w:tcBorders>
              <w:left w:val="single" w:color="auto" w:sz="4" w:space="0"/>
            </w:tcBorders>
            <w:noWrap/>
            <w:vAlign w:val="center"/>
          </w:tcPr>
          <w:p>
            <w:pPr>
              <w:keepNext w:val="0"/>
              <w:keepLines w:val="0"/>
              <w:suppressLineNumbers w:val="0"/>
              <w:spacing w:before="0" w:beforeAutospacing="0" w:after="0" w:afterAutospacing="0"/>
              <w:ind w:left="0" w:right="0"/>
              <w:jc w:val="center"/>
              <w:rPr>
                <w:rFonts w:ascii="宋体" w:hAnsi="宋体"/>
                <w:szCs w:val="21"/>
              </w:rPr>
            </w:pPr>
          </w:p>
        </w:tc>
        <w:tc>
          <w:tcPr>
            <w:tcW w:w="1842" w:type="dxa"/>
            <w:noWrap/>
            <w:vAlign w:val="center"/>
          </w:tcPr>
          <w:p>
            <w:pPr>
              <w:keepNext w:val="0"/>
              <w:keepLines w:val="0"/>
              <w:suppressLineNumbers w:val="0"/>
              <w:spacing w:before="0" w:beforeAutospacing="0" w:after="0" w:afterAutospacing="0"/>
              <w:ind w:left="0" w:right="0"/>
              <w:jc w:val="center"/>
              <w:rPr>
                <w:rFonts w:ascii="宋体" w:hAnsi="宋体"/>
                <w:szCs w:val="21"/>
              </w:rPr>
            </w:pPr>
          </w:p>
        </w:tc>
        <w:tc>
          <w:tcPr>
            <w:tcW w:w="1418" w:type="dxa"/>
            <w:noWrap/>
            <w:vAlign w:val="center"/>
          </w:tcPr>
          <w:p>
            <w:pPr>
              <w:keepNext w:val="0"/>
              <w:keepLines w:val="0"/>
              <w:suppressLineNumbers w:val="0"/>
              <w:spacing w:before="0" w:beforeAutospacing="0" w:after="0" w:afterAutospacing="0"/>
              <w:ind w:left="0" w:right="0"/>
              <w:jc w:val="center"/>
              <w:rPr>
                <w:rFonts w:ascii="宋体" w:hAnsi="宋体"/>
                <w:szCs w:val="21"/>
              </w:rPr>
            </w:pPr>
          </w:p>
        </w:tc>
        <w:tc>
          <w:tcPr>
            <w:tcW w:w="1176" w:type="dxa"/>
            <w:tcBorders>
              <w:right w:val="single" w:color="auto" w:sz="4" w:space="0"/>
            </w:tcBorders>
            <w:noWrap/>
            <w:vAlign w:val="center"/>
          </w:tcPr>
          <w:p>
            <w:pPr>
              <w:keepNext w:val="0"/>
              <w:keepLines w:val="0"/>
              <w:suppressLineNumbers w:val="0"/>
              <w:spacing w:before="0" w:beforeAutospacing="0" w:after="0" w:afterAutospacing="0"/>
              <w:ind w:left="0" w:right="0"/>
              <w:jc w:val="center"/>
              <w:rPr>
                <w:rFonts w:ascii="宋体" w:hAnsi="宋体"/>
                <w:szCs w:val="21"/>
              </w:rPr>
            </w:pPr>
          </w:p>
        </w:tc>
        <w:tc>
          <w:tcPr>
            <w:tcW w:w="1567" w:type="dxa"/>
            <w:tcBorders>
              <w:right w:val="single" w:color="auto" w:sz="4" w:space="0"/>
            </w:tcBorders>
            <w:noWrap/>
            <w:vAlign w:val="center"/>
          </w:tcPr>
          <w:p>
            <w:pPr>
              <w:keepNext w:val="0"/>
              <w:keepLines w:val="0"/>
              <w:suppressLineNumbers w:val="0"/>
              <w:spacing w:before="0" w:beforeAutospacing="0" w:after="0" w:afterAutospacing="0"/>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8" w:type="dxa"/>
            <w:vMerge w:val="continue"/>
            <w:tcBorders>
              <w:left w:val="single" w:color="auto" w:sz="4" w:space="0"/>
              <w:right w:val="single" w:color="auto" w:sz="4" w:space="0"/>
            </w:tcBorders>
            <w:noWrap/>
            <w:vAlign w:val="center"/>
          </w:tcPr>
          <w:p>
            <w:pPr>
              <w:keepNext w:val="0"/>
              <w:keepLines w:val="0"/>
              <w:suppressLineNumbers w:val="0"/>
              <w:spacing w:before="0" w:beforeAutospacing="0" w:after="0" w:afterAutospacing="0"/>
              <w:ind w:left="0" w:right="0"/>
              <w:rPr>
                <w:rFonts w:ascii="宋体" w:hAnsi="宋体"/>
                <w:szCs w:val="21"/>
              </w:rPr>
            </w:pPr>
          </w:p>
        </w:tc>
        <w:tc>
          <w:tcPr>
            <w:tcW w:w="1282" w:type="dxa"/>
            <w:tcBorders>
              <w:left w:val="single" w:color="auto" w:sz="4" w:space="0"/>
            </w:tcBorders>
            <w:noWrap/>
            <w:vAlign w:val="center"/>
          </w:tcPr>
          <w:p>
            <w:pPr>
              <w:keepNext w:val="0"/>
              <w:keepLines w:val="0"/>
              <w:suppressLineNumbers w:val="0"/>
              <w:spacing w:before="0" w:beforeAutospacing="0" w:after="0" w:afterAutospacing="0"/>
              <w:ind w:left="0" w:right="0"/>
              <w:jc w:val="center"/>
              <w:rPr>
                <w:rFonts w:ascii="宋体" w:hAnsi="宋体"/>
                <w:szCs w:val="21"/>
              </w:rPr>
            </w:pPr>
          </w:p>
        </w:tc>
        <w:tc>
          <w:tcPr>
            <w:tcW w:w="1842" w:type="dxa"/>
            <w:noWrap/>
            <w:vAlign w:val="center"/>
          </w:tcPr>
          <w:p>
            <w:pPr>
              <w:keepNext w:val="0"/>
              <w:keepLines w:val="0"/>
              <w:suppressLineNumbers w:val="0"/>
              <w:spacing w:before="0" w:beforeAutospacing="0" w:after="0" w:afterAutospacing="0"/>
              <w:ind w:left="0" w:right="0"/>
              <w:jc w:val="center"/>
              <w:rPr>
                <w:rFonts w:ascii="宋体" w:hAnsi="宋体"/>
                <w:szCs w:val="21"/>
              </w:rPr>
            </w:pPr>
          </w:p>
        </w:tc>
        <w:tc>
          <w:tcPr>
            <w:tcW w:w="1418" w:type="dxa"/>
            <w:noWrap/>
            <w:vAlign w:val="center"/>
          </w:tcPr>
          <w:p>
            <w:pPr>
              <w:keepNext w:val="0"/>
              <w:keepLines w:val="0"/>
              <w:suppressLineNumbers w:val="0"/>
              <w:spacing w:before="0" w:beforeAutospacing="0" w:after="0" w:afterAutospacing="0"/>
              <w:ind w:left="0" w:right="0"/>
              <w:jc w:val="center"/>
              <w:rPr>
                <w:rFonts w:ascii="宋体" w:hAnsi="宋体"/>
                <w:szCs w:val="21"/>
              </w:rPr>
            </w:pPr>
          </w:p>
        </w:tc>
        <w:tc>
          <w:tcPr>
            <w:tcW w:w="1176" w:type="dxa"/>
            <w:tcBorders>
              <w:right w:val="single" w:color="auto" w:sz="4" w:space="0"/>
            </w:tcBorders>
            <w:noWrap/>
            <w:vAlign w:val="center"/>
          </w:tcPr>
          <w:p>
            <w:pPr>
              <w:keepNext w:val="0"/>
              <w:keepLines w:val="0"/>
              <w:suppressLineNumbers w:val="0"/>
              <w:spacing w:before="0" w:beforeAutospacing="0" w:after="0" w:afterAutospacing="0"/>
              <w:ind w:left="0" w:right="0"/>
              <w:jc w:val="center"/>
              <w:rPr>
                <w:rFonts w:ascii="宋体" w:hAnsi="宋体"/>
                <w:szCs w:val="21"/>
              </w:rPr>
            </w:pPr>
          </w:p>
        </w:tc>
        <w:tc>
          <w:tcPr>
            <w:tcW w:w="1567" w:type="dxa"/>
            <w:tcBorders>
              <w:right w:val="single" w:color="auto" w:sz="4" w:space="0"/>
            </w:tcBorders>
            <w:noWrap/>
            <w:vAlign w:val="center"/>
          </w:tcPr>
          <w:p>
            <w:pPr>
              <w:keepNext w:val="0"/>
              <w:keepLines w:val="0"/>
              <w:suppressLineNumbers w:val="0"/>
              <w:spacing w:before="0" w:beforeAutospacing="0" w:after="0" w:afterAutospacing="0"/>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8" w:type="dxa"/>
            <w:vMerge w:val="continue"/>
            <w:tcBorders>
              <w:left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ascii="宋体" w:hAnsi="宋体"/>
                <w:szCs w:val="21"/>
              </w:rPr>
            </w:pPr>
          </w:p>
        </w:tc>
        <w:tc>
          <w:tcPr>
            <w:tcW w:w="1282" w:type="dxa"/>
            <w:tcBorders>
              <w:left w:val="single" w:color="auto" w:sz="4" w:space="0"/>
            </w:tcBorders>
            <w:noWrap/>
            <w:vAlign w:val="center"/>
          </w:tcPr>
          <w:p>
            <w:pPr>
              <w:keepNext w:val="0"/>
              <w:keepLines w:val="0"/>
              <w:suppressLineNumbers w:val="0"/>
              <w:spacing w:before="0" w:beforeAutospacing="0" w:after="0" w:afterAutospacing="0"/>
              <w:ind w:left="0" w:right="0"/>
              <w:jc w:val="center"/>
              <w:rPr>
                <w:rFonts w:ascii="宋体" w:hAnsi="宋体"/>
                <w:szCs w:val="21"/>
              </w:rPr>
            </w:pPr>
          </w:p>
        </w:tc>
        <w:tc>
          <w:tcPr>
            <w:tcW w:w="1842" w:type="dxa"/>
            <w:noWrap/>
            <w:vAlign w:val="center"/>
          </w:tcPr>
          <w:p>
            <w:pPr>
              <w:keepNext w:val="0"/>
              <w:keepLines w:val="0"/>
              <w:suppressLineNumbers w:val="0"/>
              <w:spacing w:before="0" w:beforeAutospacing="0" w:after="0" w:afterAutospacing="0"/>
              <w:ind w:left="0" w:right="0"/>
              <w:jc w:val="center"/>
              <w:rPr>
                <w:rFonts w:ascii="宋体" w:hAnsi="宋体"/>
                <w:szCs w:val="21"/>
              </w:rPr>
            </w:pPr>
          </w:p>
        </w:tc>
        <w:tc>
          <w:tcPr>
            <w:tcW w:w="1418" w:type="dxa"/>
            <w:noWrap/>
            <w:vAlign w:val="center"/>
          </w:tcPr>
          <w:p>
            <w:pPr>
              <w:keepNext w:val="0"/>
              <w:keepLines w:val="0"/>
              <w:suppressLineNumbers w:val="0"/>
              <w:spacing w:before="0" w:beforeAutospacing="0" w:after="0" w:afterAutospacing="0"/>
              <w:ind w:left="0" w:right="0"/>
              <w:jc w:val="center"/>
              <w:rPr>
                <w:rFonts w:ascii="宋体" w:hAnsi="宋体"/>
                <w:szCs w:val="21"/>
              </w:rPr>
            </w:pPr>
          </w:p>
        </w:tc>
        <w:tc>
          <w:tcPr>
            <w:tcW w:w="1176" w:type="dxa"/>
            <w:tcBorders>
              <w:right w:val="single" w:color="auto" w:sz="4" w:space="0"/>
            </w:tcBorders>
            <w:noWrap/>
            <w:vAlign w:val="center"/>
          </w:tcPr>
          <w:p>
            <w:pPr>
              <w:keepNext w:val="0"/>
              <w:keepLines w:val="0"/>
              <w:suppressLineNumbers w:val="0"/>
              <w:spacing w:before="0" w:beforeAutospacing="0" w:after="0" w:afterAutospacing="0"/>
              <w:ind w:left="0" w:right="0"/>
              <w:jc w:val="center"/>
              <w:rPr>
                <w:rFonts w:ascii="宋体" w:hAnsi="宋体"/>
                <w:szCs w:val="21"/>
              </w:rPr>
            </w:pPr>
          </w:p>
        </w:tc>
        <w:tc>
          <w:tcPr>
            <w:tcW w:w="1567" w:type="dxa"/>
            <w:tcBorders>
              <w:right w:val="single" w:color="auto" w:sz="4" w:space="0"/>
            </w:tcBorders>
            <w:noWrap/>
            <w:vAlign w:val="center"/>
          </w:tcPr>
          <w:p>
            <w:pPr>
              <w:keepNext w:val="0"/>
              <w:keepLines w:val="0"/>
              <w:suppressLineNumbers w:val="0"/>
              <w:spacing w:before="0" w:beforeAutospacing="0" w:after="0" w:afterAutospacing="0"/>
              <w:ind w:left="0" w:right="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18" w:type="dxa"/>
            <w:vMerge w:val="continue"/>
            <w:tcBorders>
              <w:left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ascii="宋体" w:hAnsi="宋体"/>
                <w:szCs w:val="21"/>
              </w:rPr>
            </w:pPr>
          </w:p>
        </w:tc>
        <w:tc>
          <w:tcPr>
            <w:tcW w:w="1282" w:type="dxa"/>
            <w:tcBorders>
              <w:left w:val="single" w:color="auto" w:sz="4" w:space="0"/>
            </w:tcBorders>
            <w:noWrap/>
            <w:vAlign w:val="center"/>
          </w:tcPr>
          <w:p>
            <w:pPr>
              <w:keepNext w:val="0"/>
              <w:keepLines w:val="0"/>
              <w:suppressLineNumbers w:val="0"/>
              <w:spacing w:before="0" w:beforeAutospacing="0" w:after="0" w:afterAutospacing="0"/>
              <w:ind w:left="0" w:right="0"/>
              <w:jc w:val="center"/>
              <w:rPr>
                <w:rFonts w:ascii="宋体" w:hAnsi="宋体"/>
                <w:szCs w:val="21"/>
              </w:rPr>
            </w:pPr>
          </w:p>
        </w:tc>
        <w:tc>
          <w:tcPr>
            <w:tcW w:w="1842" w:type="dxa"/>
            <w:noWrap/>
            <w:vAlign w:val="center"/>
          </w:tcPr>
          <w:p>
            <w:pPr>
              <w:keepNext w:val="0"/>
              <w:keepLines w:val="0"/>
              <w:suppressLineNumbers w:val="0"/>
              <w:spacing w:before="0" w:beforeAutospacing="0" w:after="0" w:afterAutospacing="0"/>
              <w:ind w:left="0" w:right="0"/>
              <w:jc w:val="center"/>
              <w:rPr>
                <w:rFonts w:ascii="宋体" w:hAnsi="宋体"/>
                <w:szCs w:val="21"/>
              </w:rPr>
            </w:pPr>
          </w:p>
        </w:tc>
        <w:tc>
          <w:tcPr>
            <w:tcW w:w="1418" w:type="dxa"/>
            <w:noWrap/>
            <w:vAlign w:val="center"/>
          </w:tcPr>
          <w:p>
            <w:pPr>
              <w:keepNext w:val="0"/>
              <w:keepLines w:val="0"/>
              <w:suppressLineNumbers w:val="0"/>
              <w:spacing w:before="0" w:beforeAutospacing="0" w:after="0" w:afterAutospacing="0"/>
              <w:ind w:left="0" w:right="0"/>
              <w:jc w:val="center"/>
              <w:rPr>
                <w:rFonts w:ascii="宋体" w:hAnsi="宋体"/>
                <w:szCs w:val="21"/>
              </w:rPr>
            </w:pPr>
          </w:p>
        </w:tc>
        <w:tc>
          <w:tcPr>
            <w:tcW w:w="1176" w:type="dxa"/>
            <w:tcBorders>
              <w:right w:val="single" w:color="auto" w:sz="4" w:space="0"/>
            </w:tcBorders>
            <w:noWrap/>
            <w:vAlign w:val="center"/>
          </w:tcPr>
          <w:p>
            <w:pPr>
              <w:keepNext w:val="0"/>
              <w:keepLines w:val="0"/>
              <w:suppressLineNumbers w:val="0"/>
              <w:spacing w:before="0" w:beforeAutospacing="0" w:after="0" w:afterAutospacing="0"/>
              <w:ind w:left="0" w:right="0"/>
              <w:jc w:val="center"/>
              <w:rPr>
                <w:rFonts w:ascii="宋体" w:hAnsi="宋体"/>
                <w:szCs w:val="21"/>
              </w:rPr>
            </w:pPr>
          </w:p>
        </w:tc>
        <w:tc>
          <w:tcPr>
            <w:tcW w:w="1567" w:type="dxa"/>
            <w:tcBorders>
              <w:right w:val="single" w:color="auto" w:sz="4" w:space="0"/>
            </w:tcBorders>
            <w:noWrap/>
            <w:vAlign w:val="center"/>
          </w:tcPr>
          <w:p>
            <w:pPr>
              <w:keepNext w:val="0"/>
              <w:keepLines w:val="0"/>
              <w:suppressLineNumbers w:val="0"/>
              <w:spacing w:before="0" w:beforeAutospacing="0" w:after="0" w:afterAutospacing="0"/>
              <w:ind w:left="0" w:right="0"/>
              <w:jc w:val="center"/>
              <w:rPr>
                <w:rFonts w:ascii="宋体" w:hAnsi="宋体"/>
                <w:szCs w:val="21"/>
              </w:rPr>
            </w:pPr>
          </w:p>
        </w:tc>
      </w:tr>
    </w:tbl>
    <w:p>
      <w:pPr>
        <w:rPr>
          <w:rFonts w:ascii="宋体" w:hAnsi="宋体"/>
          <w:szCs w:val="21"/>
          <w:lang w:val="en-GB"/>
        </w:rPr>
      </w:pPr>
      <w:r>
        <w:rPr>
          <w:rFonts w:hint="eastAsia" w:ascii="宋体" w:hAnsi="宋体"/>
          <w:szCs w:val="21"/>
          <w:lang w:val="en-GB"/>
        </w:rPr>
        <w:t xml:space="preserve">  注：根据评审表的要求提交相应资料。</w:t>
      </w:r>
    </w:p>
    <w:p>
      <w:pPr>
        <w:rPr>
          <w:rFonts w:ascii="宋体" w:hAnsi="宋体"/>
          <w:szCs w:val="21"/>
          <w:lang w:val="en-GB"/>
        </w:rPr>
      </w:pPr>
    </w:p>
    <w:p>
      <w:pPr>
        <w:rPr>
          <w:rFonts w:ascii="宋体" w:hAnsi="宋体"/>
          <w:szCs w:val="21"/>
          <w:lang w:val="en-GB"/>
        </w:rPr>
      </w:pPr>
    </w:p>
    <w:p>
      <w:pPr>
        <w:spacing w:line="360" w:lineRule="auto"/>
        <w:ind w:firstLine="3885" w:firstLineChars="1850"/>
        <w:rPr>
          <w:rFonts w:ascii="宋体" w:hAnsi="宋体"/>
          <w:szCs w:val="21"/>
        </w:rPr>
      </w:pPr>
      <w:r>
        <w:rPr>
          <w:rFonts w:hint="eastAsia" w:ascii="宋体" w:hAnsi="宋体"/>
          <w:szCs w:val="21"/>
        </w:rPr>
        <w:t>投标人全称（盖公章）：</w:t>
      </w:r>
    </w:p>
    <w:p>
      <w:pPr>
        <w:spacing w:line="360" w:lineRule="auto"/>
        <w:ind w:left="3885" w:leftChars="200" w:hanging="3465" w:hangingChars="1650"/>
        <w:rPr>
          <w:rFonts w:ascii="宋体" w:hAnsi="宋体"/>
        </w:rPr>
      </w:pPr>
      <w:r>
        <w:rPr>
          <w:rFonts w:hint="eastAsia" w:ascii="宋体" w:hAnsi="宋体"/>
        </w:rPr>
        <w:t xml:space="preserve">                                 法定代表人或授权代表（签字或盖章）：</w:t>
      </w:r>
    </w:p>
    <w:p>
      <w:pPr>
        <w:spacing w:afterLines="3000" w:line="360" w:lineRule="auto"/>
        <w:ind w:left="3885" w:leftChars="200" w:hanging="3465" w:hangingChars="1650"/>
        <w:rPr>
          <w:rFonts w:ascii="宋体" w:hAnsi="宋体"/>
        </w:rPr>
      </w:pPr>
      <w:r>
        <w:rPr>
          <w:rFonts w:hint="eastAsia" w:ascii="宋体" w:hAnsi="宋体"/>
        </w:rPr>
        <w:t xml:space="preserve">                                 日       期：</w:t>
      </w:r>
    </w:p>
    <w:p>
      <w:pPr>
        <w:pageBreakBefore/>
        <w:adjustRightInd w:val="0"/>
        <w:snapToGrid w:val="0"/>
        <w:spacing w:line="360" w:lineRule="auto"/>
        <w:rPr>
          <w:rFonts w:ascii="宋体" w:hAnsi="宋体"/>
          <w:b/>
          <w:szCs w:val="21"/>
          <w:lang w:val="en-GB"/>
        </w:rPr>
      </w:pPr>
      <w:r>
        <w:rPr>
          <w:rFonts w:hint="eastAsia" w:ascii="宋体" w:hAnsi="宋体"/>
          <w:b/>
          <w:szCs w:val="21"/>
        </w:rPr>
        <w:t>5.</w:t>
      </w:r>
      <w:r>
        <w:rPr>
          <w:rFonts w:hint="eastAsia" w:ascii="宋体" w:hAnsi="宋体" w:cs="Arial"/>
          <w:b/>
          <w:kern w:val="0"/>
          <w:szCs w:val="21"/>
        </w:rPr>
        <w:t xml:space="preserve">整体实施方案 </w:t>
      </w:r>
    </w:p>
    <w:p>
      <w:pPr>
        <w:adjustRightInd w:val="0"/>
        <w:snapToGrid w:val="0"/>
        <w:spacing w:after="60" w:line="360" w:lineRule="auto"/>
        <w:ind w:firstLine="562" w:firstLineChars="200"/>
        <w:jc w:val="center"/>
        <w:rPr>
          <w:rFonts w:ascii="宋体" w:hAnsi="宋体"/>
          <w:sz w:val="28"/>
          <w:szCs w:val="28"/>
        </w:rPr>
      </w:pPr>
      <w:r>
        <w:rPr>
          <w:rFonts w:hint="eastAsia" w:ascii="宋体" w:hAnsi="宋体" w:cs="Arial"/>
          <w:b/>
          <w:kern w:val="0"/>
          <w:sz w:val="28"/>
          <w:szCs w:val="28"/>
        </w:rPr>
        <w:t>整体实施方案</w:t>
      </w:r>
      <w:r>
        <w:rPr>
          <w:rFonts w:hint="eastAsia" w:ascii="宋体" w:hAnsi="宋体"/>
          <w:sz w:val="28"/>
          <w:szCs w:val="28"/>
        </w:rPr>
        <w:t>（格式自定）</w:t>
      </w:r>
    </w:p>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Pr>
        <w:ind w:firstLine="420" w:firstLineChars="200"/>
      </w:pPr>
      <w:r>
        <w:rPr>
          <w:rFonts w:hint="eastAsia" w:ascii="宋体" w:hAnsi="宋体"/>
        </w:rPr>
        <w:t>投标人应按招标文件要求的内容和顺序，对完成整个项目提出相应的方案及提供认为必要的其它内容。</w:t>
      </w:r>
    </w:p>
    <w:p>
      <w:pPr>
        <w:ind w:firstLine="420" w:firstLineChars="200"/>
      </w:pPr>
    </w:p>
    <w:p/>
    <w:sectPr>
      <w:footerReference r:id="rId14" w:type="default"/>
      <w:pgSz w:w="11907" w:h="16840"/>
      <w:pgMar w:top="1247" w:right="1191" w:bottom="1247" w:left="1191" w:header="964" w:footer="850" w:gutter="0"/>
      <w:cols w:space="72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汉仪细圆简">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ËÎÌå">
    <w:altName w:val="Arial"/>
    <w:panose1 w:val="00000000000000000000"/>
    <w:charset w:val="00"/>
    <w:family w:val="swiss"/>
    <w:pitch w:val="default"/>
    <w:sig w:usb0="00000000" w:usb1="00000000" w:usb2="00000000" w:usb3="00000000" w:csb0="00000001" w:csb1="00000000"/>
  </w:font>
  <w:font w:name="F14">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42</w:t>
    </w:r>
    <w:r>
      <w:rPr>
        <w:lang w:val="zh-CN"/>
      </w:rPr>
      <w:fldChar w:fldCharType="end"/>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10</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02"/>
      <w:rPr>
        <w:rFonts w:eastAsia="Times New Roman"/>
        <w:sz w:val="17"/>
        <w:szCs w:val="17"/>
      </w:rPr>
    </w:pPr>
    <w:r>
      <w:rPr>
        <w:rFonts w:eastAsia="Times New Roman"/>
        <w:spacing w:val="-5"/>
        <w:sz w:val="17"/>
        <w:szCs w:val="17"/>
      </w:rPr>
      <w:t>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02"/>
      <w:rPr>
        <w:rFonts w:eastAsia="Times New Roman"/>
        <w:sz w:val="17"/>
        <w:szCs w:val="17"/>
      </w:rPr>
    </w:pPr>
    <w:r>
      <w:rPr>
        <w:rFonts w:eastAsia="Times New Roman"/>
        <w:spacing w:val="-5"/>
        <w:sz w:val="17"/>
        <w:szCs w:val="17"/>
      </w:rPr>
      <w:t>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pict>
        <v:shape id="文本框 1"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G/Ys4AgAAbw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dkb9izgCAABvBAAADgAAAAAAAAABACAAAAAfAQAAZHJzL2Uyb0RvYy54&#10;bWxQSwUGAAAAAAYABgBZAQAAyQUAAAAA&#10;">
          <v:path/>
          <v:fill on="f" focussize="0,0"/>
          <v:stroke on="f" weight="0.5pt" joinstyle="miter"/>
          <v:imagedata o:title=""/>
          <o:lock v:ext="edit"/>
          <v:textbox inset="0mm,0mm,0mm,0mm" style="mso-fit-shape-to-text:t;">
            <w:txbxContent>
              <w:p>
                <w:pPr>
                  <w:pStyle w:val="27"/>
                </w:pPr>
                <w:r>
                  <w:fldChar w:fldCharType="begin"/>
                </w:r>
                <w:r>
                  <w:instrText xml:space="preserve"> PAGE  \* MERGEFORMAT </w:instrText>
                </w:r>
                <w:r>
                  <w:fldChar w:fldCharType="separate"/>
                </w:r>
                <w:r>
                  <w:t>57</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宋体"/>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jc w:val="left"/>
      <w:rPr>
        <w:rFonts w:ascii="宋体"/>
        <w:szCs w:val="18"/>
      </w:rPr>
    </w:pPr>
    <w:r>
      <w:rPr>
        <w:rFonts w:ascii="宋体" w:hAnsi="宋体"/>
        <w:szCs w:val="21"/>
      </w:rPr>
      <w:drawing>
        <wp:anchor distT="0" distB="0" distL="114300" distR="114300" simplePos="0" relativeHeight="251664384" behindDoc="0" locked="0" layoutInCell="1" allowOverlap="1">
          <wp:simplePos x="0" y="0"/>
          <wp:positionH relativeFrom="column">
            <wp:posOffset>92075</wp:posOffset>
          </wp:positionH>
          <wp:positionV relativeFrom="paragraph">
            <wp:posOffset>6350</wp:posOffset>
          </wp:positionV>
          <wp:extent cx="127000" cy="139065"/>
          <wp:effectExtent l="0" t="0" r="6350" b="13335"/>
          <wp:wrapSquare wrapText="right"/>
          <wp:docPr id="2" name="图片 11" descr="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descr="ZY"/>
                  <pic:cNvPicPr>
                    <a:picLocks noChangeAspect="1"/>
                  </pic:cNvPicPr>
                </pic:nvPicPr>
                <pic:blipFill>
                  <a:blip r:embed="rId1"/>
                  <a:stretch>
                    <a:fillRect/>
                  </a:stretch>
                </pic:blipFill>
                <pic:spPr>
                  <a:xfrm>
                    <a:off x="0" y="0"/>
                    <a:ext cx="127000" cy="139065"/>
                  </a:xfrm>
                  <a:prstGeom prst="rect">
                    <a:avLst/>
                  </a:prstGeom>
                  <a:noFill/>
                  <a:ln>
                    <a:noFill/>
                  </a:ln>
                </pic:spPr>
              </pic:pic>
            </a:graphicData>
          </a:graphic>
        </wp:anchor>
      </w:drawing>
    </w:r>
    <w:r>
      <w:rPr>
        <w:rFonts w:hint="eastAsia" w:ascii="宋体" w:hAnsi="宋体"/>
        <w:szCs w:val="21"/>
      </w:rPr>
      <w:t xml:space="preserve">     广东中曜招标代理有限公司招标文件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jc w:val="left"/>
      <w:rPr>
        <w:rFonts w:ascii="宋体"/>
        <w:szCs w:val="18"/>
      </w:rPr>
    </w:pPr>
    <w:r>
      <w:rPr>
        <w:rFonts w:ascii="宋体" w:hAnsi="宋体"/>
        <w:szCs w:val="21"/>
      </w:rPr>
      <w:drawing>
        <wp:anchor distT="0" distB="0" distL="114300" distR="114300" simplePos="0" relativeHeight="251665408" behindDoc="0" locked="0" layoutInCell="1" allowOverlap="1">
          <wp:simplePos x="0" y="0"/>
          <wp:positionH relativeFrom="column">
            <wp:posOffset>-16510</wp:posOffset>
          </wp:positionH>
          <wp:positionV relativeFrom="paragraph">
            <wp:posOffset>2540</wp:posOffset>
          </wp:positionV>
          <wp:extent cx="127000" cy="142875"/>
          <wp:effectExtent l="0" t="0" r="6350" b="9525"/>
          <wp:wrapSquare wrapText="right"/>
          <wp:docPr id="3" name="图片 11" descr="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descr="ZY"/>
                  <pic:cNvPicPr>
                    <a:picLocks noChangeAspect="1"/>
                  </pic:cNvPicPr>
                </pic:nvPicPr>
                <pic:blipFill>
                  <a:blip r:embed="rId1"/>
                  <a:stretch>
                    <a:fillRect/>
                  </a:stretch>
                </pic:blipFill>
                <pic:spPr>
                  <a:xfrm>
                    <a:off x="0" y="0"/>
                    <a:ext cx="127000" cy="142875"/>
                  </a:xfrm>
                  <a:prstGeom prst="rect">
                    <a:avLst/>
                  </a:prstGeom>
                  <a:noFill/>
                  <a:ln>
                    <a:noFill/>
                  </a:ln>
                </pic:spPr>
              </pic:pic>
            </a:graphicData>
          </a:graphic>
        </wp:anchor>
      </w:drawing>
    </w:r>
    <w:r>
      <w:rPr>
        <w:rFonts w:hint="eastAsia" w:ascii="宋体" w:hAnsi="宋体"/>
      </w:rPr>
      <w:t xml:space="preserve">    中曜招标股份有限公司</w:t>
    </w:r>
    <w:r>
      <w:rPr>
        <w:rFonts w:hint="eastAsia" w:ascii="宋体" w:hAnsi="宋体"/>
        <w:szCs w:val="21"/>
      </w:rPr>
      <w:t xml:space="preserve">招标文件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jc w:val="left"/>
      <w:rPr>
        <w:rFonts w:ascii="宋体"/>
        <w:szCs w:val="18"/>
      </w:rPr>
    </w:pPr>
    <w:r>
      <w:rPr>
        <w:rFonts w:ascii="宋体" w:hAnsi="宋体"/>
        <w:szCs w:val="21"/>
      </w:rPr>
      <w:drawing>
        <wp:anchor distT="0" distB="0" distL="114300" distR="114300" simplePos="0" relativeHeight="251667456" behindDoc="0" locked="0" layoutInCell="1" allowOverlap="1">
          <wp:simplePos x="0" y="0"/>
          <wp:positionH relativeFrom="column">
            <wp:posOffset>92075</wp:posOffset>
          </wp:positionH>
          <wp:positionV relativeFrom="paragraph">
            <wp:posOffset>6350</wp:posOffset>
          </wp:positionV>
          <wp:extent cx="127000" cy="139065"/>
          <wp:effectExtent l="19050" t="0" r="6350" b="0"/>
          <wp:wrapSquare wrapText="right"/>
          <wp:docPr id="4" name="图片 11" descr="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descr="ZY"/>
                  <pic:cNvPicPr>
                    <a:picLocks noChangeAspect="1" noChangeArrowheads="1"/>
                  </pic:cNvPicPr>
                </pic:nvPicPr>
                <pic:blipFill>
                  <a:blip r:embed="rId1"/>
                  <a:srcRect/>
                  <a:stretch>
                    <a:fillRect/>
                  </a:stretch>
                </pic:blipFill>
                <pic:spPr>
                  <a:xfrm>
                    <a:off x="0" y="0"/>
                    <a:ext cx="127000" cy="139065"/>
                  </a:xfrm>
                  <a:prstGeom prst="rect">
                    <a:avLst/>
                  </a:prstGeom>
                  <a:noFill/>
                  <a:ln w="9525">
                    <a:noFill/>
                    <a:miter lim="800000"/>
                    <a:headEnd/>
                    <a:tailEnd/>
                  </a:ln>
                </pic:spPr>
              </pic:pic>
            </a:graphicData>
          </a:graphic>
        </wp:anchor>
      </w:drawing>
    </w:r>
    <w:r>
      <w:rPr>
        <w:rFonts w:hint="eastAsia" w:ascii="宋体" w:hAnsi="宋体"/>
        <w:szCs w:val="21"/>
      </w:rPr>
      <w:t xml:space="preserve">     中曜招标股份有限公司招标文件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jc w:val="left"/>
      <w:rPr>
        <w:rFonts w:ascii="宋体"/>
        <w:szCs w:val="18"/>
      </w:rPr>
    </w:pPr>
    <w:r>
      <w:rPr>
        <w:rFonts w:ascii="宋体" w:hAnsi="宋体"/>
        <w:szCs w:val="21"/>
      </w:rPr>
      <w:drawing>
        <wp:anchor distT="0" distB="0" distL="114300" distR="114300" simplePos="0" relativeHeight="251668480" behindDoc="0" locked="0" layoutInCell="1" allowOverlap="1">
          <wp:simplePos x="0" y="0"/>
          <wp:positionH relativeFrom="column">
            <wp:posOffset>92075</wp:posOffset>
          </wp:positionH>
          <wp:positionV relativeFrom="paragraph">
            <wp:posOffset>6350</wp:posOffset>
          </wp:positionV>
          <wp:extent cx="127000" cy="139065"/>
          <wp:effectExtent l="19050" t="0" r="6350" b="0"/>
          <wp:wrapSquare wrapText="right"/>
          <wp:docPr id="5" name="图片 11" descr="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descr="ZY"/>
                  <pic:cNvPicPr>
                    <a:picLocks noChangeAspect="1" noChangeArrowheads="1"/>
                  </pic:cNvPicPr>
                </pic:nvPicPr>
                <pic:blipFill>
                  <a:blip r:embed="rId1"/>
                  <a:srcRect/>
                  <a:stretch>
                    <a:fillRect/>
                  </a:stretch>
                </pic:blipFill>
                <pic:spPr>
                  <a:xfrm>
                    <a:off x="0" y="0"/>
                    <a:ext cx="127000" cy="139065"/>
                  </a:xfrm>
                  <a:prstGeom prst="rect">
                    <a:avLst/>
                  </a:prstGeom>
                  <a:noFill/>
                  <a:ln w="9525">
                    <a:noFill/>
                    <a:miter lim="800000"/>
                    <a:headEnd/>
                    <a:tailEnd/>
                  </a:ln>
                </pic:spPr>
              </pic:pic>
            </a:graphicData>
          </a:graphic>
        </wp:anchor>
      </w:drawing>
    </w:r>
    <w:r>
      <w:rPr>
        <w:rFonts w:hint="eastAsia" w:ascii="宋体" w:hAnsi="宋体"/>
        <w:szCs w:val="21"/>
      </w:rPr>
      <w:t xml:space="preserve">     中曜招标股份有限公司招标文件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5"/>
    <w:multiLevelType w:val="multilevel"/>
    <w:tmpl w:val="00000015"/>
    <w:lvl w:ilvl="0" w:tentative="0">
      <w:start w:val="1"/>
      <w:numFmt w:val="japaneseCounting"/>
      <w:lvlText w:val="%1、"/>
      <w:lvlJc w:val="left"/>
      <w:pPr>
        <w:tabs>
          <w:tab w:val="left" w:pos="1290"/>
        </w:tabs>
        <w:ind w:left="1290" w:hanging="85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2C204C4"/>
    <w:multiLevelType w:val="multilevel"/>
    <w:tmpl w:val="02C204C4"/>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18051DCB"/>
    <w:multiLevelType w:val="singleLevel"/>
    <w:tmpl w:val="18051DCB"/>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Mjc3YzQxYjgxODhmNDMxNjliNzI2ZmE1NTA1YWQzMjkifQ=="/>
    <w:docVar w:name="KGWebUrl" w:val="http://59.37.7.85:11337/seeyon/officeservlet"/>
  </w:docVars>
  <w:rsids>
    <w:rsidRoot w:val="0087596A"/>
    <w:rsid w:val="000005C2"/>
    <w:rsid w:val="0000209F"/>
    <w:rsid w:val="00002374"/>
    <w:rsid w:val="00002DAC"/>
    <w:rsid w:val="00002EA9"/>
    <w:rsid w:val="000036F4"/>
    <w:rsid w:val="00003A5D"/>
    <w:rsid w:val="00003F0E"/>
    <w:rsid w:val="00004CCA"/>
    <w:rsid w:val="00006BDE"/>
    <w:rsid w:val="00006C20"/>
    <w:rsid w:val="00006C59"/>
    <w:rsid w:val="0000728E"/>
    <w:rsid w:val="000076F4"/>
    <w:rsid w:val="00010496"/>
    <w:rsid w:val="000104C7"/>
    <w:rsid w:val="000112C0"/>
    <w:rsid w:val="00012E61"/>
    <w:rsid w:val="000133A1"/>
    <w:rsid w:val="00014A14"/>
    <w:rsid w:val="00015755"/>
    <w:rsid w:val="00016AE4"/>
    <w:rsid w:val="00016F63"/>
    <w:rsid w:val="00020272"/>
    <w:rsid w:val="000203C8"/>
    <w:rsid w:val="00021A7A"/>
    <w:rsid w:val="000234B8"/>
    <w:rsid w:val="00023C64"/>
    <w:rsid w:val="000242EB"/>
    <w:rsid w:val="00024432"/>
    <w:rsid w:val="00024495"/>
    <w:rsid w:val="000251C1"/>
    <w:rsid w:val="00025A0A"/>
    <w:rsid w:val="000262F9"/>
    <w:rsid w:val="00026831"/>
    <w:rsid w:val="0002794D"/>
    <w:rsid w:val="00030361"/>
    <w:rsid w:val="000307C3"/>
    <w:rsid w:val="00031BB4"/>
    <w:rsid w:val="00032410"/>
    <w:rsid w:val="000324CC"/>
    <w:rsid w:val="00032B2C"/>
    <w:rsid w:val="00032DC9"/>
    <w:rsid w:val="00033AA7"/>
    <w:rsid w:val="00033C5D"/>
    <w:rsid w:val="00033F0A"/>
    <w:rsid w:val="0003535D"/>
    <w:rsid w:val="000354AE"/>
    <w:rsid w:val="000354D3"/>
    <w:rsid w:val="0003559E"/>
    <w:rsid w:val="00035EFB"/>
    <w:rsid w:val="0003624F"/>
    <w:rsid w:val="00036CB8"/>
    <w:rsid w:val="00037ACA"/>
    <w:rsid w:val="0004155C"/>
    <w:rsid w:val="0004168D"/>
    <w:rsid w:val="0004239D"/>
    <w:rsid w:val="0004260D"/>
    <w:rsid w:val="00043AC0"/>
    <w:rsid w:val="00044A3E"/>
    <w:rsid w:val="00046772"/>
    <w:rsid w:val="00046E36"/>
    <w:rsid w:val="000471EC"/>
    <w:rsid w:val="0004778D"/>
    <w:rsid w:val="00051CB7"/>
    <w:rsid w:val="00051CEF"/>
    <w:rsid w:val="000541A7"/>
    <w:rsid w:val="00055169"/>
    <w:rsid w:val="00056214"/>
    <w:rsid w:val="00056793"/>
    <w:rsid w:val="00060135"/>
    <w:rsid w:val="00060255"/>
    <w:rsid w:val="0006082A"/>
    <w:rsid w:val="00062225"/>
    <w:rsid w:val="00063142"/>
    <w:rsid w:val="00065210"/>
    <w:rsid w:val="0006530E"/>
    <w:rsid w:val="00065417"/>
    <w:rsid w:val="00066114"/>
    <w:rsid w:val="00066EF8"/>
    <w:rsid w:val="00067E1E"/>
    <w:rsid w:val="000700C4"/>
    <w:rsid w:val="0007080A"/>
    <w:rsid w:val="00070BB8"/>
    <w:rsid w:val="000713A8"/>
    <w:rsid w:val="0007151B"/>
    <w:rsid w:val="000715C9"/>
    <w:rsid w:val="0007212E"/>
    <w:rsid w:val="00072795"/>
    <w:rsid w:val="00072BB5"/>
    <w:rsid w:val="0007335B"/>
    <w:rsid w:val="00074722"/>
    <w:rsid w:val="00074DF9"/>
    <w:rsid w:val="0007615D"/>
    <w:rsid w:val="00076C57"/>
    <w:rsid w:val="00076F52"/>
    <w:rsid w:val="000774C4"/>
    <w:rsid w:val="00077BBB"/>
    <w:rsid w:val="000809AF"/>
    <w:rsid w:val="000812A6"/>
    <w:rsid w:val="00081695"/>
    <w:rsid w:val="0008186C"/>
    <w:rsid w:val="00082A30"/>
    <w:rsid w:val="00083698"/>
    <w:rsid w:val="000847CB"/>
    <w:rsid w:val="00084F2D"/>
    <w:rsid w:val="00084F80"/>
    <w:rsid w:val="00085E10"/>
    <w:rsid w:val="00086378"/>
    <w:rsid w:val="00087382"/>
    <w:rsid w:val="000874BF"/>
    <w:rsid w:val="000875F7"/>
    <w:rsid w:val="00087B22"/>
    <w:rsid w:val="000901B0"/>
    <w:rsid w:val="0009185D"/>
    <w:rsid w:val="00092C93"/>
    <w:rsid w:val="00094627"/>
    <w:rsid w:val="00094F14"/>
    <w:rsid w:val="000964ED"/>
    <w:rsid w:val="00097BD7"/>
    <w:rsid w:val="00097F50"/>
    <w:rsid w:val="00097F85"/>
    <w:rsid w:val="000A05B4"/>
    <w:rsid w:val="000A099A"/>
    <w:rsid w:val="000A25D1"/>
    <w:rsid w:val="000A37B7"/>
    <w:rsid w:val="000A5685"/>
    <w:rsid w:val="000A7DEE"/>
    <w:rsid w:val="000B34E3"/>
    <w:rsid w:val="000B4FD5"/>
    <w:rsid w:val="000B5B65"/>
    <w:rsid w:val="000B623C"/>
    <w:rsid w:val="000B7D3F"/>
    <w:rsid w:val="000B7EDD"/>
    <w:rsid w:val="000C1357"/>
    <w:rsid w:val="000C2CF0"/>
    <w:rsid w:val="000C2F5E"/>
    <w:rsid w:val="000C3781"/>
    <w:rsid w:val="000C3E70"/>
    <w:rsid w:val="000C52A5"/>
    <w:rsid w:val="000C6053"/>
    <w:rsid w:val="000C6967"/>
    <w:rsid w:val="000C74AA"/>
    <w:rsid w:val="000D0308"/>
    <w:rsid w:val="000D0E58"/>
    <w:rsid w:val="000D14D9"/>
    <w:rsid w:val="000D200E"/>
    <w:rsid w:val="000D2FE8"/>
    <w:rsid w:val="000D379A"/>
    <w:rsid w:val="000D4C59"/>
    <w:rsid w:val="000D506C"/>
    <w:rsid w:val="000D5F8C"/>
    <w:rsid w:val="000D6763"/>
    <w:rsid w:val="000D6FA2"/>
    <w:rsid w:val="000D7ACD"/>
    <w:rsid w:val="000D7D05"/>
    <w:rsid w:val="000E085E"/>
    <w:rsid w:val="000E10A4"/>
    <w:rsid w:val="000E198A"/>
    <w:rsid w:val="000E2E48"/>
    <w:rsid w:val="000E40C5"/>
    <w:rsid w:val="000E6C99"/>
    <w:rsid w:val="000E7360"/>
    <w:rsid w:val="000F0121"/>
    <w:rsid w:val="000F0937"/>
    <w:rsid w:val="000F094A"/>
    <w:rsid w:val="000F0A6A"/>
    <w:rsid w:val="000F0B27"/>
    <w:rsid w:val="000F2256"/>
    <w:rsid w:val="000F294A"/>
    <w:rsid w:val="000F2E7C"/>
    <w:rsid w:val="000F2EBE"/>
    <w:rsid w:val="000F340A"/>
    <w:rsid w:val="000F4599"/>
    <w:rsid w:val="000F68A6"/>
    <w:rsid w:val="00101B20"/>
    <w:rsid w:val="00101BAD"/>
    <w:rsid w:val="0010300D"/>
    <w:rsid w:val="00104EFD"/>
    <w:rsid w:val="001050FB"/>
    <w:rsid w:val="001051A5"/>
    <w:rsid w:val="001051AB"/>
    <w:rsid w:val="0010673A"/>
    <w:rsid w:val="00106C15"/>
    <w:rsid w:val="0011078C"/>
    <w:rsid w:val="001116E6"/>
    <w:rsid w:val="00114B4A"/>
    <w:rsid w:val="00116500"/>
    <w:rsid w:val="00117944"/>
    <w:rsid w:val="00120449"/>
    <w:rsid w:val="001211E3"/>
    <w:rsid w:val="0012320A"/>
    <w:rsid w:val="00123863"/>
    <w:rsid w:val="00123D38"/>
    <w:rsid w:val="00124748"/>
    <w:rsid w:val="0012595C"/>
    <w:rsid w:val="00125A9D"/>
    <w:rsid w:val="00125DC4"/>
    <w:rsid w:val="001263EC"/>
    <w:rsid w:val="001275BE"/>
    <w:rsid w:val="00131F91"/>
    <w:rsid w:val="001326C9"/>
    <w:rsid w:val="0013288D"/>
    <w:rsid w:val="00134D11"/>
    <w:rsid w:val="001352EE"/>
    <w:rsid w:val="00135DB0"/>
    <w:rsid w:val="001369C9"/>
    <w:rsid w:val="00136A7A"/>
    <w:rsid w:val="00136DBC"/>
    <w:rsid w:val="00137914"/>
    <w:rsid w:val="00137D2A"/>
    <w:rsid w:val="0014073B"/>
    <w:rsid w:val="00140A27"/>
    <w:rsid w:val="00141807"/>
    <w:rsid w:val="00142382"/>
    <w:rsid w:val="00142FB9"/>
    <w:rsid w:val="001436A1"/>
    <w:rsid w:val="00144FC5"/>
    <w:rsid w:val="001474B3"/>
    <w:rsid w:val="00150C43"/>
    <w:rsid w:val="00150E4E"/>
    <w:rsid w:val="001518EB"/>
    <w:rsid w:val="00151CB7"/>
    <w:rsid w:val="001532D5"/>
    <w:rsid w:val="00153428"/>
    <w:rsid w:val="00153AD2"/>
    <w:rsid w:val="00153C74"/>
    <w:rsid w:val="00154CF2"/>
    <w:rsid w:val="00156057"/>
    <w:rsid w:val="00156E72"/>
    <w:rsid w:val="00157FC7"/>
    <w:rsid w:val="00160A11"/>
    <w:rsid w:val="00160B02"/>
    <w:rsid w:val="00161CE9"/>
    <w:rsid w:val="00162A8F"/>
    <w:rsid w:val="001646CB"/>
    <w:rsid w:val="00164BFC"/>
    <w:rsid w:val="00165CD1"/>
    <w:rsid w:val="00165D06"/>
    <w:rsid w:val="001666D3"/>
    <w:rsid w:val="001668DC"/>
    <w:rsid w:val="00171176"/>
    <w:rsid w:val="0017216B"/>
    <w:rsid w:val="00172958"/>
    <w:rsid w:val="00174037"/>
    <w:rsid w:val="0017432D"/>
    <w:rsid w:val="00174C11"/>
    <w:rsid w:val="00174D23"/>
    <w:rsid w:val="00174F0C"/>
    <w:rsid w:val="00175432"/>
    <w:rsid w:val="001767A7"/>
    <w:rsid w:val="001769E5"/>
    <w:rsid w:val="00177560"/>
    <w:rsid w:val="001779AF"/>
    <w:rsid w:val="001802D9"/>
    <w:rsid w:val="00180B84"/>
    <w:rsid w:val="00180C9F"/>
    <w:rsid w:val="001815B3"/>
    <w:rsid w:val="00181A28"/>
    <w:rsid w:val="00181B59"/>
    <w:rsid w:val="00184534"/>
    <w:rsid w:val="001849B7"/>
    <w:rsid w:val="00185F86"/>
    <w:rsid w:val="00186C53"/>
    <w:rsid w:val="00186EB1"/>
    <w:rsid w:val="00187AEA"/>
    <w:rsid w:val="00187C18"/>
    <w:rsid w:val="00192300"/>
    <w:rsid w:val="001935B5"/>
    <w:rsid w:val="00195129"/>
    <w:rsid w:val="00195A4C"/>
    <w:rsid w:val="00197106"/>
    <w:rsid w:val="0019797A"/>
    <w:rsid w:val="00197A48"/>
    <w:rsid w:val="00197E61"/>
    <w:rsid w:val="001A04DE"/>
    <w:rsid w:val="001A080F"/>
    <w:rsid w:val="001A286C"/>
    <w:rsid w:val="001A5390"/>
    <w:rsid w:val="001A566D"/>
    <w:rsid w:val="001A710E"/>
    <w:rsid w:val="001A73A4"/>
    <w:rsid w:val="001A7709"/>
    <w:rsid w:val="001A7919"/>
    <w:rsid w:val="001B51DD"/>
    <w:rsid w:val="001B55BA"/>
    <w:rsid w:val="001B5B27"/>
    <w:rsid w:val="001C1C62"/>
    <w:rsid w:val="001C242C"/>
    <w:rsid w:val="001C2E83"/>
    <w:rsid w:val="001C346A"/>
    <w:rsid w:val="001C3534"/>
    <w:rsid w:val="001C493F"/>
    <w:rsid w:val="001C535C"/>
    <w:rsid w:val="001C5DF4"/>
    <w:rsid w:val="001C6017"/>
    <w:rsid w:val="001D172F"/>
    <w:rsid w:val="001D1910"/>
    <w:rsid w:val="001D2226"/>
    <w:rsid w:val="001D47C2"/>
    <w:rsid w:val="001D4944"/>
    <w:rsid w:val="001D4DAE"/>
    <w:rsid w:val="001D599D"/>
    <w:rsid w:val="001D6031"/>
    <w:rsid w:val="001D64BF"/>
    <w:rsid w:val="001D6C73"/>
    <w:rsid w:val="001D710E"/>
    <w:rsid w:val="001D7E81"/>
    <w:rsid w:val="001E0DB2"/>
    <w:rsid w:val="001E17AB"/>
    <w:rsid w:val="001E1A3F"/>
    <w:rsid w:val="001E1F69"/>
    <w:rsid w:val="001E2994"/>
    <w:rsid w:val="001E2EB9"/>
    <w:rsid w:val="001E3496"/>
    <w:rsid w:val="001E3843"/>
    <w:rsid w:val="001E4445"/>
    <w:rsid w:val="001E53CB"/>
    <w:rsid w:val="001E796E"/>
    <w:rsid w:val="001F177D"/>
    <w:rsid w:val="001F1A95"/>
    <w:rsid w:val="001F26B0"/>
    <w:rsid w:val="001F34E0"/>
    <w:rsid w:val="001F3589"/>
    <w:rsid w:val="001F3C9D"/>
    <w:rsid w:val="001F4F09"/>
    <w:rsid w:val="001F501B"/>
    <w:rsid w:val="001F5F6F"/>
    <w:rsid w:val="001F6E59"/>
    <w:rsid w:val="002009D9"/>
    <w:rsid w:val="00200D54"/>
    <w:rsid w:val="0020199D"/>
    <w:rsid w:val="00202D26"/>
    <w:rsid w:val="00203D34"/>
    <w:rsid w:val="002042D2"/>
    <w:rsid w:val="002053C5"/>
    <w:rsid w:val="002053F5"/>
    <w:rsid w:val="00207923"/>
    <w:rsid w:val="0021035A"/>
    <w:rsid w:val="0021075C"/>
    <w:rsid w:val="0021121E"/>
    <w:rsid w:val="002114AA"/>
    <w:rsid w:val="0021202D"/>
    <w:rsid w:val="002136A3"/>
    <w:rsid w:val="002142EB"/>
    <w:rsid w:val="00215157"/>
    <w:rsid w:val="00215294"/>
    <w:rsid w:val="00215678"/>
    <w:rsid w:val="002156CB"/>
    <w:rsid w:val="00215D5E"/>
    <w:rsid w:val="00216A57"/>
    <w:rsid w:val="002175B3"/>
    <w:rsid w:val="002179E9"/>
    <w:rsid w:val="00217A3C"/>
    <w:rsid w:val="00217B76"/>
    <w:rsid w:val="00220DA7"/>
    <w:rsid w:val="00221259"/>
    <w:rsid w:val="00222133"/>
    <w:rsid w:val="002235D7"/>
    <w:rsid w:val="002241A6"/>
    <w:rsid w:val="00225638"/>
    <w:rsid w:val="0022785A"/>
    <w:rsid w:val="002312FF"/>
    <w:rsid w:val="00231B73"/>
    <w:rsid w:val="0023243D"/>
    <w:rsid w:val="002324BD"/>
    <w:rsid w:val="00232774"/>
    <w:rsid w:val="00232A79"/>
    <w:rsid w:val="0023303C"/>
    <w:rsid w:val="002345C8"/>
    <w:rsid w:val="00234F42"/>
    <w:rsid w:val="00235646"/>
    <w:rsid w:val="00236359"/>
    <w:rsid w:val="00237647"/>
    <w:rsid w:val="00237CB5"/>
    <w:rsid w:val="0024026C"/>
    <w:rsid w:val="0024087C"/>
    <w:rsid w:val="00241838"/>
    <w:rsid w:val="00241890"/>
    <w:rsid w:val="00243F79"/>
    <w:rsid w:val="00244C34"/>
    <w:rsid w:val="00245363"/>
    <w:rsid w:val="00246CF5"/>
    <w:rsid w:val="00247329"/>
    <w:rsid w:val="00247CB0"/>
    <w:rsid w:val="00250D68"/>
    <w:rsid w:val="00251483"/>
    <w:rsid w:val="00252461"/>
    <w:rsid w:val="00252E4D"/>
    <w:rsid w:val="00253002"/>
    <w:rsid w:val="002549FD"/>
    <w:rsid w:val="00255755"/>
    <w:rsid w:val="00256062"/>
    <w:rsid w:val="00262491"/>
    <w:rsid w:val="002635BF"/>
    <w:rsid w:val="002646A8"/>
    <w:rsid w:val="00265AA6"/>
    <w:rsid w:val="00271243"/>
    <w:rsid w:val="0027490F"/>
    <w:rsid w:val="002767A9"/>
    <w:rsid w:val="00276A04"/>
    <w:rsid w:val="00276C19"/>
    <w:rsid w:val="00276D34"/>
    <w:rsid w:val="00277984"/>
    <w:rsid w:val="00277A37"/>
    <w:rsid w:val="002801B0"/>
    <w:rsid w:val="002807E7"/>
    <w:rsid w:val="002824DF"/>
    <w:rsid w:val="00282942"/>
    <w:rsid w:val="00283084"/>
    <w:rsid w:val="00283D4D"/>
    <w:rsid w:val="00284197"/>
    <w:rsid w:val="002845A4"/>
    <w:rsid w:val="0028564A"/>
    <w:rsid w:val="00285C31"/>
    <w:rsid w:val="002861B0"/>
    <w:rsid w:val="0028673A"/>
    <w:rsid w:val="002870FD"/>
    <w:rsid w:val="00287804"/>
    <w:rsid w:val="00290646"/>
    <w:rsid w:val="0029080C"/>
    <w:rsid w:val="002909C0"/>
    <w:rsid w:val="0029136B"/>
    <w:rsid w:val="00291472"/>
    <w:rsid w:val="00291D68"/>
    <w:rsid w:val="002923CD"/>
    <w:rsid w:val="00292763"/>
    <w:rsid w:val="00292F30"/>
    <w:rsid w:val="00292FB2"/>
    <w:rsid w:val="00294117"/>
    <w:rsid w:val="00294F73"/>
    <w:rsid w:val="00295040"/>
    <w:rsid w:val="002952CD"/>
    <w:rsid w:val="00296BFC"/>
    <w:rsid w:val="00296CA7"/>
    <w:rsid w:val="002A0917"/>
    <w:rsid w:val="002A0D25"/>
    <w:rsid w:val="002A0D91"/>
    <w:rsid w:val="002A17D9"/>
    <w:rsid w:val="002A2495"/>
    <w:rsid w:val="002A3754"/>
    <w:rsid w:val="002A5571"/>
    <w:rsid w:val="002B0B07"/>
    <w:rsid w:val="002B0B8C"/>
    <w:rsid w:val="002B1A3A"/>
    <w:rsid w:val="002B26DE"/>
    <w:rsid w:val="002B28BE"/>
    <w:rsid w:val="002B3173"/>
    <w:rsid w:val="002B3BC0"/>
    <w:rsid w:val="002B3D68"/>
    <w:rsid w:val="002B47E1"/>
    <w:rsid w:val="002B4822"/>
    <w:rsid w:val="002B5EEE"/>
    <w:rsid w:val="002B7E69"/>
    <w:rsid w:val="002C03E4"/>
    <w:rsid w:val="002C070E"/>
    <w:rsid w:val="002C0FC4"/>
    <w:rsid w:val="002C124A"/>
    <w:rsid w:val="002C35FA"/>
    <w:rsid w:val="002C37CB"/>
    <w:rsid w:val="002C3E64"/>
    <w:rsid w:val="002C3F13"/>
    <w:rsid w:val="002C4729"/>
    <w:rsid w:val="002C5E3F"/>
    <w:rsid w:val="002C5EAA"/>
    <w:rsid w:val="002C6119"/>
    <w:rsid w:val="002C6FE2"/>
    <w:rsid w:val="002C7493"/>
    <w:rsid w:val="002C7725"/>
    <w:rsid w:val="002C7F2B"/>
    <w:rsid w:val="002D0C7F"/>
    <w:rsid w:val="002D1131"/>
    <w:rsid w:val="002D173E"/>
    <w:rsid w:val="002D189C"/>
    <w:rsid w:val="002D1E85"/>
    <w:rsid w:val="002D1F4E"/>
    <w:rsid w:val="002D2CB5"/>
    <w:rsid w:val="002D36B3"/>
    <w:rsid w:val="002D4108"/>
    <w:rsid w:val="002D430C"/>
    <w:rsid w:val="002D483B"/>
    <w:rsid w:val="002D5CF6"/>
    <w:rsid w:val="002D6591"/>
    <w:rsid w:val="002D6CBA"/>
    <w:rsid w:val="002D708F"/>
    <w:rsid w:val="002E048A"/>
    <w:rsid w:val="002E07A3"/>
    <w:rsid w:val="002E0A73"/>
    <w:rsid w:val="002E39ED"/>
    <w:rsid w:val="002E3DC5"/>
    <w:rsid w:val="002E4908"/>
    <w:rsid w:val="002E6585"/>
    <w:rsid w:val="002E65DA"/>
    <w:rsid w:val="002E69EC"/>
    <w:rsid w:val="002E777D"/>
    <w:rsid w:val="002F02E1"/>
    <w:rsid w:val="002F215B"/>
    <w:rsid w:val="002F2F98"/>
    <w:rsid w:val="002F33A9"/>
    <w:rsid w:val="002F3870"/>
    <w:rsid w:val="002F408B"/>
    <w:rsid w:val="002F4157"/>
    <w:rsid w:val="002F511D"/>
    <w:rsid w:val="002F5AD9"/>
    <w:rsid w:val="002F652C"/>
    <w:rsid w:val="002F71ED"/>
    <w:rsid w:val="002F7325"/>
    <w:rsid w:val="002F7815"/>
    <w:rsid w:val="002F7DAB"/>
    <w:rsid w:val="003001D5"/>
    <w:rsid w:val="00300547"/>
    <w:rsid w:val="003025B8"/>
    <w:rsid w:val="00302A16"/>
    <w:rsid w:val="003033C3"/>
    <w:rsid w:val="00303769"/>
    <w:rsid w:val="00303E47"/>
    <w:rsid w:val="00304853"/>
    <w:rsid w:val="003048D8"/>
    <w:rsid w:val="00305977"/>
    <w:rsid w:val="00305A6B"/>
    <w:rsid w:val="00305CDD"/>
    <w:rsid w:val="00306194"/>
    <w:rsid w:val="00307143"/>
    <w:rsid w:val="00307E18"/>
    <w:rsid w:val="00307FB8"/>
    <w:rsid w:val="003103CC"/>
    <w:rsid w:val="00310D4E"/>
    <w:rsid w:val="00311549"/>
    <w:rsid w:val="00311DA2"/>
    <w:rsid w:val="0031246B"/>
    <w:rsid w:val="0031515D"/>
    <w:rsid w:val="003159F0"/>
    <w:rsid w:val="0031638B"/>
    <w:rsid w:val="00316994"/>
    <w:rsid w:val="0031758D"/>
    <w:rsid w:val="00317D35"/>
    <w:rsid w:val="003203FA"/>
    <w:rsid w:val="003204C9"/>
    <w:rsid w:val="00320641"/>
    <w:rsid w:val="00320644"/>
    <w:rsid w:val="00320C6F"/>
    <w:rsid w:val="003218D5"/>
    <w:rsid w:val="00321A7D"/>
    <w:rsid w:val="003228E7"/>
    <w:rsid w:val="00323B67"/>
    <w:rsid w:val="00324157"/>
    <w:rsid w:val="00324E73"/>
    <w:rsid w:val="00325251"/>
    <w:rsid w:val="003256C6"/>
    <w:rsid w:val="00325A2E"/>
    <w:rsid w:val="0032684D"/>
    <w:rsid w:val="00327482"/>
    <w:rsid w:val="00327AD8"/>
    <w:rsid w:val="0033133F"/>
    <w:rsid w:val="003317C2"/>
    <w:rsid w:val="0033306F"/>
    <w:rsid w:val="00334718"/>
    <w:rsid w:val="00334B30"/>
    <w:rsid w:val="0033530D"/>
    <w:rsid w:val="0033751E"/>
    <w:rsid w:val="00340371"/>
    <w:rsid w:val="0034075A"/>
    <w:rsid w:val="00340818"/>
    <w:rsid w:val="00341E31"/>
    <w:rsid w:val="00342AD6"/>
    <w:rsid w:val="00342D64"/>
    <w:rsid w:val="003436AA"/>
    <w:rsid w:val="0034421E"/>
    <w:rsid w:val="0034439C"/>
    <w:rsid w:val="0034554C"/>
    <w:rsid w:val="0035087C"/>
    <w:rsid w:val="00350EBC"/>
    <w:rsid w:val="003517DB"/>
    <w:rsid w:val="00352E6D"/>
    <w:rsid w:val="0035444A"/>
    <w:rsid w:val="003551D6"/>
    <w:rsid w:val="00355F65"/>
    <w:rsid w:val="0035609B"/>
    <w:rsid w:val="0035711A"/>
    <w:rsid w:val="00360684"/>
    <w:rsid w:val="00362D39"/>
    <w:rsid w:val="00362DEA"/>
    <w:rsid w:val="00363F02"/>
    <w:rsid w:val="00364CA4"/>
    <w:rsid w:val="00370571"/>
    <w:rsid w:val="00370846"/>
    <w:rsid w:val="0037120F"/>
    <w:rsid w:val="0037121A"/>
    <w:rsid w:val="003717D2"/>
    <w:rsid w:val="0037380C"/>
    <w:rsid w:val="00373B94"/>
    <w:rsid w:val="003746F7"/>
    <w:rsid w:val="00374CB2"/>
    <w:rsid w:val="00375811"/>
    <w:rsid w:val="00375899"/>
    <w:rsid w:val="00375C08"/>
    <w:rsid w:val="00377311"/>
    <w:rsid w:val="00377CAB"/>
    <w:rsid w:val="00380F15"/>
    <w:rsid w:val="00381E8C"/>
    <w:rsid w:val="003832F2"/>
    <w:rsid w:val="003840CB"/>
    <w:rsid w:val="0038459D"/>
    <w:rsid w:val="003856D5"/>
    <w:rsid w:val="00386C4E"/>
    <w:rsid w:val="00387DA3"/>
    <w:rsid w:val="00390303"/>
    <w:rsid w:val="00390F94"/>
    <w:rsid w:val="003915BF"/>
    <w:rsid w:val="00391F56"/>
    <w:rsid w:val="00392936"/>
    <w:rsid w:val="003935EA"/>
    <w:rsid w:val="003954FF"/>
    <w:rsid w:val="003960D6"/>
    <w:rsid w:val="003960ED"/>
    <w:rsid w:val="00396E2F"/>
    <w:rsid w:val="00397021"/>
    <w:rsid w:val="00397460"/>
    <w:rsid w:val="003A0AC1"/>
    <w:rsid w:val="003A22F3"/>
    <w:rsid w:val="003A3B54"/>
    <w:rsid w:val="003A47ED"/>
    <w:rsid w:val="003A4CCF"/>
    <w:rsid w:val="003A4D1E"/>
    <w:rsid w:val="003A50A1"/>
    <w:rsid w:val="003A55C7"/>
    <w:rsid w:val="003A5DB1"/>
    <w:rsid w:val="003A70D8"/>
    <w:rsid w:val="003A70F6"/>
    <w:rsid w:val="003B0300"/>
    <w:rsid w:val="003B081D"/>
    <w:rsid w:val="003B10F3"/>
    <w:rsid w:val="003B181C"/>
    <w:rsid w:val="003B184C"/>
    <w:rsid w:val="003B191E"/>
    <w:rsid w:val="003B323B"/>
    <w:rsid w:val="003B3DB5"/>
    <w:rsid w:val="003B3DCD"/>
    <w:rsid w:val="003B45D3"/>
    <w:rsid w:val="003B4781"/>
    <w:rsid w:val="003B4BD0"/>
    <w:rsid w:val="003B51BF"/>
    <w:rsid w:val="003B5F9F"/>
    <w:rsid w:val="003B677B"/>
    <w:rsid w:val="003B7A98"/>
    <w:rsid w:val="003B7C5D"/>
    <w:rsid w:val="003C04C6"/>
    <w:rsid w:val="003C118A"/>
    <w:rsid w:val="003C2E5A"/>
    <w:rsid w:val="003C3D26"/>
    <w:rsid w:val="003C417B"/>
    <w:rsid w:val="003C50A2"/>
    <w:rsid w:val="003C549F"/>
    <w:rsid w:val="003C5CA3"/>
    <w:rsid w:val="003C6020"/>
    <w:rsid w:val="003C6416"/>
    <w:rsid w:val="003C6D03"/>
    <w:rsid w:val="003D0609"/>
    <w:rsid w:val="003D1CF0"/>
    <w:rsid w:val="003D1D31"/>
    <w:rsid w:val="003D1EA1"/>
    <w:rsid w:val="003D2CD6"/>
    <w:rsid w:val="003D2D3A"/>
    <w:rsid w:val="003D44CA"/>
    <w:rsid w:val="003D5420"/>
    <w:rsid w:val="003D54FF"/>
    <w:rsid w:val="003D5999"/>
    <w:rsid w:val="003D5E07"/>
    <w:rsid w:val="003D6017"/>
    <w:rsid w:val="003D6651"/>
    <w:rsid w:val="003D6DB9"/>
    <w:rsid w:val="003D7D5A"/>
    <w:rsid w:val="003E0BF0"/>
    <w:rsid w:val="003E25BC"/>
    <w:rsid w:val="003E390C"/>
    <w:rsid w:val="003E4871"/>
    <w:rsid w:val="003E5004"/>
    <w:rsid w:val="003E5AF9"/>
    <w:rsid w:val="003E5E9B"/>
    <w:rsid w:val="003E5FD3"/>
    <w:rsid w:val="003E74ED"/>
    <w:rsid w:val="003E7C78"/>
    <w:rsid w:val="003F0255"/>
    <w:rsid w:val="003F1E64"/>
    <w:rsid w:val="003F2E99"/>
    <w:rsid w:val="003F311F"/>
    <w:rsid w:val="003F3DEF"/>
    <w:rsid w:val="003F49F6"/>
    <w:rsid w:val="003F50E5"/>
    <w:rsid w:val="003F5B83"/>
    <w:rsid w:val="003F6EA9"/>
    <w:rsid w:val="003F7231"/>
    <w:rsid w:val="003F7E29"/>
    <w:rsid w:val="00400B4C"/>
    <w:rsid w:val="00401DFE"/>
    <w:rsid w:val="00401FB9"/>
    <w:rsid w:val="00402463"/>
    <w:rsid w:val="004048B7"/>
    <w:rsid w:val="00404CBD"/>
    <w:rsid w:val="00405EDB"/>
    <w:rsid w:val="00411290"/>
    <w:rsid w:val="004130C8"/>
    <w:rsid w:val="00413298"/>
    <w:rsid w:val="004137B4"/>
    <w:rsid w:val="004143B1"/>
    <w:rsid w:val="00415A98"/>
    <w:rsid w:val="00415D9A"/>
    <w:rsid w:val="00415EA9"/>
    <w:rsid w:val="00416728"/>
    <w:rsid w:val="00417DC7"/>
    <w:rsid w:val="0042020F"/>
    <w:rsid w:val="00420C93"/>
    <w:rsid w:val="00421C0C"/>
    <w:rsid w:val="00422C53"/>
    <w:rsid w:val="0042440C"/>
    <w:rsid w:val="004246DD"/>
    <w:rsid w:val="00425292"/>
    <w:rsid w:val="00425C18"/>
    <w:rsid w:val="00425C5E"/>
    <w:rsid w:val="00425E1B"/>
    <w:rsid w:val="004274E7"/>
    <w:rsid w:val="004313F6"/>
    <w:rsid w:val="00432506"/>
    <w:rsid w:val="00436642"/>
    <w:rsid w:val="004367EB"/>
    <w:rsid w:val="004370B8"/>
    <w:rsid w:val="004370BA"/>
    <w:rsid w:val="00437F4E"/>
    <w:rsid w:val="004413D0"/>
    <w:rsid w:val="00442262"/>
    <w:rsid w:val="00443A87"/>
    <w:rsid w:val="00443D42"/>
    <w:rsid w:val="00444075"/>
    <w:rsid w:val="00444552"/>
    <w:rsid w:val="00444F55"/>
    <w:rsid w:val="00446212"/>
    <w:rsid w:val="00446836"/>
    <w:rsid w:val="00447D2C"/>
    <w:rsid w:val="00447F34"/>
    <w:rsid w:val="004506F9"/>
    <w:rsid w:val="0045111D"/>
    <w:rsid w:val="004530D1"/>
    <w:rsid w:val="0045347F"/>
    <w:rsid w:val="0045358D"/>
    <w:rsid w:val="00453998"/>
    <w:rsid w:val="0045410B"/>
    <w:rsid w:val="00455858"/>
    <w:rsid w:val="0045780F"/>
    <w:rsid w:val="00457969"/>
    <w:rsid w:val="00457FD2"/>
    <w:rsid w:val="00462752"/>
    <w:rsid w:val="004627B0"/>
    <w:rsid w:val="00462D38"/>
    <w:rsid w:val="00462EE7"/>
    <w:rsid w:val="004632DA"/>
    <w:rsid w:val="00464B93"/>
    <w:rsid w:val="004717BC"/>
    <w:rsid w:val="004729DB"/>
    <w:rsid w:val="00473BFA"/>
    <w:rsid w:val="00474912"/>
    <w:rsid w:val="00477930"/>
    <w:rsid w:val="0047793F"/>
    <w:rsid w:val="00477EFE"/>
    <w:rsid w:val="004808B6"/>
    <w:rsid w:val="00480F33"/>
    <w:rsid w:val="00481E21"/>
    <w:rsid w:val="00482402"/>
    <w:rsid w:val="0048436F"/>
    <w:rsid w:val="004845A7"/>
    <w:rsid w:val="00484EE1"/>
    <w:rsid w:val="00485922"/>
    <w:rsid w:val="00487275"/>
    <w:rsid w:val="00490D31"/>
    <w:rsid w:val="00491826"/>
    <w:rsid w:val="00491C1F"/>
    <w:rsid w:val="00491CE3"/>
    <w:rsid w:val="00493475"/>
    <w:rsid w:val="00493798"/>
    <w:rsid w:val="00493997"/>
    <w:rsid w:val="00495679"/>
    <w:rsid w:val="00495853"/>
    <w:rsid w:val="004A0D5C"/>
    <w:rsid w:val="004A15CC"/>
    <w:rsid w:val="004A19D3"/>
    <w:rsid w:val="004A27F2"/>
    <w:rsid w:val="004A29A4"/>
    <w:rsid w:val="004A2B22"/>
    <w:rsid w:val="004A3AC2"/>
    <w:rsid w:val="004A52B7"/>
    <w:rsid w:val="004A69DD"/>
    <w:rsid w:val="004B00A8"/>
    <w:rsid w:val="004B077A"/>
    <w:rsid w:val="004B21DC"/>
    <w:rsid w:val="004B2620"/>
    <w:rsid w:val="004B2D90"/>
    <w:rsid w:val="004B3FAD"/>
    <w:rsid w:val="004B5756"/>
    <w:rsid w:val="004B67A7"/>
    <w:rsid w:val="004B6A0C"/>
    <w:rsid w:val="004B7547"/>
    <w:rsid w:val="004B7ABF"/>
    <w:rsid w:val="004B7D31"/>
    <w:rsid w:val="004C0410"/>
    <w:rsid w:val="004C1FFA"/>
    <w:rsid w:val="004C240E"/>
    <w:rsid w:val="004C29F4"/>
    <w:rsid w:val="004C2EBE"/>
    <w:rsid w:val="004C2FBF"/>
    <w:rsid w:val="004C36F1"/>
    <w:rsid w:val="004C3D59"/>
    <w:rsid w:val="004C3DE2"/>
    <w:rsid w:val="004C3F25"/>
    <w:rsid w:val="004C4E55"/>
    <w:rsid w:val="004C6093"/>
    <w:rsid w:val="004C6178"/>
    <w:rsid w:val="004C6529"/>
    <w:rsid w:val="004C6602"/>
    <w:rsid w:val="004C7D13"/>
    <w:rsid w:val="004D00A0"/>
    <w:rsid w:val="004D1D07"/>
    <w:rsid w:val="004D3F00"/>
    <w:rsid w:val="004D5E26"/>
    <w:rsid w:val="004E060A"/>
    <w:rsid w:val="004E10FF"/>
    <w:rsid w:val="004E23BE"/>
    <w:rsid w:val="004E33F0"/>
    <w:rsid w:val="004E466B"/>
    <w:rsid w:val="004E4B2A"/>
    <w:rsid w:val="004E4FB0"/>
    <w:rsid w:val="004E51A1"/>
    <w:rsid w:val="004E5872"/>
    <w:rsid w:val="004E7396"/>
    <w:rsid w:val="004F058A"/>
    <w:rsid w:val="004F08EE"/>
    <w:rsid w:val="004F1091"/>
    <w:rsid w:val="004F1173"/>
    <w:rsid w:val="004F2D5C"/>
    <w:rsid w:val="004F37CB"/>
    <w:rsid w:val="004F3EC7"/>
    <w:rsid w:val="004F4BDB"/>
    <w:rsid w:val="004F5860"/>
    <w:rsid w:val="004F68C9"/>
    <w:rsid w:val="00501518"/>
    <w:rsid w:val="0050156C"/>
    <w:rsid w:val="00502DCA"/>
    <w:rsid w:val="0050469D"/>
    <w:rsid w:val="005048DB"/>
    <w:rsid w:val="00505A02"/>
    <w:rsid w:val="00505FA0"/>
    <w:rsid w:val="00506901"/>
    <w:rsid w:val="00506A67"/>
    <w:rsid w:val="00510311"/>
    <w:rsid w:val="00510A6E"/>
    <w:rsid w:val="00511180"/>
    <w:rsid w:val="00511E00"/>
    <w:rsid w:val="00511F5A"/>
    <w:rsid w:val="0051392E"/>
    <w:rsid w:val="00514684"/>
    <w:rsid w:val="005147C6"/>
    <w:rsid w:val="005151B2"/>
    <w:rsid w:val="00521F67"/>
    <w:rsid w:val="00522231"/>
    <w:rsid w:val="005226FB"/>
    <w:rsid w:val="0052366D"/>
    <w:rsid w:val="00523F45"/>
    <w:rsid w:val="0052404F"/>
    <w:rsid w:val="00524BD4"/>
    <w:rsid w:val="0052540E"/>
    <w:rsid w:val="00526291"/>
    <w:rsid w:val="00527A33"/>
    <w:rsid w:val="00530C37"/>
    <w:rsid w:val="0053150D"/>
    <w:rsid w:val="0053228D"/>
    <w:rsid w:val="00533E39"/>
    <w:rsid w:val="005344D2"/>
    <w:rsid w:val="00534A52"/>
    <w:rsid w:val="00535266"/>
    <w:rsid w:val="00535E4B"/>
    <w:rsid w:val="005402A0"/>
    <w:rsid w:val="00542A39"/>
    <w:rsid w:val="005433C9"/>
    <w:rsid w:val="00543651"/>
    <w:rsid w:val="00546826"/>
    <w:rsid w:val="00550115"/>
    <w:rsid w:val="005505D1"/>
    <w:rsid w:val="0055084B"/>
    <w:rsid w:val="00550941"/>
    <w:rsid w:val="00550FBB"/>
    <w:rsid w:val="00551A01"/>
    <w:rsid w:val="0055587E"/>
    <w:rsid w:val="005559FA"/>
    <w:rsid w:val="00555DC8"/>
    <w:rsid w:val="005575E6"/>
    <w:rsid w:val="005601DF"/>
    <w:rsid w:val="00560B7E"/>
    <w:rsid w:val="00560D0B"/>
    <w:rsid w:val="00561797"/>
    <w:rsid w:val="00561C61"/>
    <w:rsid w:val="00562147"/>
    <w:rsid w:val="0056281B"/>
    <w:rsid w:val="00563091"/>
    <w:rsid w:val="00564352"/>
    <w:rsid w:val="00564F21"/>
    <w:rsid w:val="00564FF4"/>
    <w:rsid w:val="00565801"/>
    <w:rsid w:val="00567B35"/>
    <w:rsid w:val="00567F73"/>
    <w:rsid w:val="00570374"/>
    <w:rsid w:val="0057078C"/>
    <w:rsid w:val="00571E79"/>
    <w:rsid w:val="00572B6C"/>
    <w:rsid w:val="00572D9A"/>
    <w:rsid w:val="00574013"/>
    <w:rsid w:val="00574A24"/>
    <w:rsid w:val="00576869"/>
    <w:rsid w:val="00576911"/>
    <w:rsid w:val="0057751F"/>
    <w:rsid w:val="005800E4"/>
    <w:rsid w:val="005811FF"/>
    <w:rsid w:val="005830B0"/>
    <w:rsid w:val="005845D3"/>
    <w:rsid w:val="005846F4"/>
    <w:rsid w:val="00585836"/>
    <w:rsid w:val="00585FA4"/>
    <w:rsid w:val="00587FCF"/>
    <w:rsid w:val="005903F2"/>
    <w:rsid w:val="0059119D"/>
    <w:rsid w:val="0059160C"/>
    <w:rsid w:val="00592134"/>
    <w:rsid w:val="0059285B"/>
    <w:rsid w:val="00592B4C"/>
    <w:rsid w:val="005941FE"/>
    <w:rsid w:val="00594D56"/>
    <w:rsid w:val="0059546B"/>
    <w:rsid w:val="005955CE"/>
    <w:rsid w:val="00595CD2"/>
    <w:rsid w:val="00596BA6"/>
    <w:rsid w:val="00597BDC"/>
    <w:rsid w:val="005A0641"/>
    <w:rsid w:val="005A0BAE"/>
    <w:rsid w:val="005A0C85"/>
    <w:rsid w:val="005A2251"/>
    <w:rsid w:val="005A4080"/>
    <w:rsid w:val="005A4B87"/>
    <w:rsid w:val="005A5A2A"/>
    <w:rsid w:val="005A7A85"/>
    <w:rsid w:val="005B12D6"/>
    <w:rsid w:val="005B1363"/>
    <w:rsid w:val="005B1BB0"/>
    <w:rsid w:val="005B61ED"/>
    <w:rsid w:val="005B64E6"/>
    <w:rsid w:val="005B6BA1"/>
    <w:rsid w:val="005B71A2"/>
    <w:rsid w:val="005B7938"/>
    <w:rsid w:val="005C1B2B"/>
    <w:rsid w:val="005C1BCA"/>
    <w:rsid w:val="005C27E4"/>
    <w:rsid w:val="005C28F2"/>
    <w:rsid w:val="005C37F5"/>
    <w:rsid w:val="005C46B4"/>
    <w:rsid w:val="005C4C76"/>
    <w:rsid w:val="005C53E3"/>
    <w:rsid w:val="005C6B44"/>
    <w:rsid w:val="005C73EE"/>
    <w:rsid w:val="005D08FD"/>
    <w:rsid w:val="005D0F8E"/>
    <w:rsid w:val="005D11D5"/>
    <w:rsid w:val="005D13BA"/>
    <w:rsid w:val="005D1915"/>
    <w:rsid w:val="005D25F4"/>
    <w:rsid w:val="005D370C"/>
    <w:rsid w:val="005D579A"/>
    <w:rsid w:val="005D6829"/>
    <w:rsid w:val="005D6BB7"/>
    <w:rsid w:val="005E08F3"/>
    <w:rsid w:val="005E0C0E"/>
    <w:rsid w:val="005E1542"/>
    <w:rsid w:val="005E2EA4"/>
    <w:rsid w:val="005E3E27"/>
    <w:rsid w:val="005E408B"/>
    <w:rsid w:val="005E7F5F"/>
    <w:rsid w:val="005F07E2"/>
    <w:rsid w:val="005F0CD6"/>
    <w:rsid w:val="005F11C3"/>
    <w:rsid w:val="005F1636"/>
    <w:rsid w:val="005F1A4F"/>
    <w:rsid w:val="005F1FCB"/>
    <w:rsid w:val="005F230B"/>
    <w:rsid w:val="005F24EF"/>
    <w:rsid w:val="005F2B4F"/>
    <w:rsid w:val="005F43AC"/>
    <w:rsid w:val="005F4837"/>
    <w:rsid w:val="005F5D6E"/>
    <w:rsid w:val="005F70DB"/>
    <w:rsid w:val="005F7905"/>
    <w:rsid w:val="005F7FA9"/>
    <w:rsid w:val="00600129"/>
    <w:rsid w:val="00600BE7"/>
    <w:rsid w:val="0060127E"/>
    <w:rsid w:val="00602212"/>
    <w:rsid w:val="00602D9D"/>
    <w:rsid w:val="00604E37"/>
    <w:rsid w:val="00605619"/>
    <w:rsid w:val="00605AF3"/>
    <w:rsid w:val="00606D65"/>
    <w:rsid w:val="0060782A"/>
    <w:rsid w:val="00607D90"/>
    <w:rsid w:val="0061069E"/>
    <w:rsid w:val="00610AB8"/>
    <w:rsid w:val="006111A8"/>
    <w:rsid w:val="006116AB"/>
    <w:rsid w:val="006120C1"/>
    <w:rsid w:val="00612560"/>
    <w:rsid w:val="00612E8D"/>
    <w:rsid w:val="006130E7"/>
    <w:rsid w:val="00613F9B"/>
    <w:rsid w:val="006144C3"/>
    <w:rsid w:val="00614BF1"/>
    <w:rsid w:val="00614CFE"/>
    <w:rsid w:val="00615724"/>
    <w:rsid w:val="00615893"/>
    <w:rsid w:val="00615A13"/>
    <w:rsid w:val="00615FE6"/>
    <w:rsid w:val="00616391"/>
    <w:rsid w:val="00616D57"/>
    <w:rsid w:val="00616D72"/>
    <w:rsid w:val="00617584"/>
    <w:rsid w:val="00617B5A"/>
    <w:rsid w:val="00617E6D"/>
    <w:rsid w:val="00621A4D"/>
    <w:rsid w:val="006237B5"/>
    <w:rsid w:val="00624457"/>
    <w:rsid w:val="00624695"/>
    <w:rsid w:val="006254A3"/>
    <w:rsid w:val="00625D8A"/>
    <w:rsid w:val="00626CEF"/>
    <w:rsid w:val="00627DEE"/>
    <w:rsid w:val="00627FA2"/>
    <w:rsid w:val="00627FB1"/>
    <w:rsid w:val="00632194"/>
    <w:rsid w:val="00632977"/>
    <w:rsid w:val="00632C96"/>
    <w:rsid w:val="00632E7A"/>
    <w:rsid w:val="00632EF9"/>
    <w:rsid w:val="006341D6"/>
    <w:rsid w:val="006345C5"/>
    <w:rsid w:val="00634950"/>
    <w:rsid w:val="006349FA"/>
    <w:rsid w:val="006355AC"/>
    <w:rsid w:val="00637F60"/>
    <w:rsid w:val="00640521"/>
    <w:rsid w:val="00640913"/>
    <w:rsid w:val="00640BD1"/>
    <w:rsid w:val="00641075"/>
    <w:rsid w:val="006410FD"/>
    <w:rsid w:val="00642C87"/>
    <w:rsid w:val="00644FD0"/>
    <w:rsid w:val="00645837"/>
    <w:rsid w:val="00645C50"/>
    <w:rsid w:val="00645D20"/>
    <w:rsid w:val="006463D0"/>
    <w:rsid w:val="00647239"/>
    <w:rsid w:val="0065131E"/>
    <w:rsid w:val="006514E5"/>
    <w:rsid w:val="00652BF6"/>
    <w:rsid w:val="00652C84"/>
    <w:rsid w:val="00653E53"/>
    <w:rsid w:val="00654DE2"/>
    <w:rsid w:val="0065593D"/>
    <w:rsid w:val="00655E6B"/>
    <w:rsid w:val="00657226"/>
    <w:rsid w:val="00660072"/>
    <w:rsid w:val="006608F7"/>
    <w:rsid w:val="00661E8E"/>
    <w:rsid w:val="006621C1"/>
    <w:rsid w:val="006622C3"/>
    <w:rsid w:val="006640B4"/>
    <w:rsid w:val="00665094"/>
    <w:rsid w:val="00665816"/>
    <w:rsid w:val="00665918"/>
    <w:rsid w:val="00665AD0"/>
    <w:rsid w:val="00666378"/>
    <w:rsid w:val="00666862"/>
    <w:rsid w:val="00666CCB"/>
    <w:rsid w:val="00667474"/>
    <w:rsid w:val="0066752F"/>
    <w:rsid w:val="00671974"/>
    <w:rsid w:val="00671EC1"/>
    <w:rsid w:val="00677CD9"/>
    <w:rsid w:val="0068030A"/>
    <w:rsid w:val="00680571"/>
    <w:rsid w:val="00680971"/>
    <w:rsid w:val="00680C7B"/>
    <w:rsid w:val="006815DF"/>
    <w:rsid w:val="00681C72"/>
    <w:rsid w:val="00681F00"/>
    <w:rsid w:val="0068264D"/>
    <w:rsid w:val="00682993"/>
    <w:rsid w:val="00682FCE"/>
    <w:rsid w:val="00683EBC"/>
    <w:rsid w:val="0068458A"/>
    <w:rsid w:val="00684B10"/>
    <w:rsid w:val="00684E72"/>
    <w:rsid w:val="006855F8"/>
    <w:rsid w:val="00685B9F"/>
    <w:rsid w:val="006860EE"/>
    <w:rsid w:val="006866EC"/>
    <w:rsid w:val="00687984"/>
    <w:rsid w:val="00687AA4"/>
    <w:rsid w:val="00687C4C"/>
    <w:rsid w:val="00690369"/>
    <w:rsid w:val="00690553"/>
    <w:rsid w:val="00690B57"/>
    <w:rsid w:val="00691561"/>
    <w:rsid w:val="006936CD"/>
    <w:rsid w:val="006937C9"/>
    <w:rsid w:val="0069446C"/>
    <w:rsid w:val="00694525"/>
    <w:rsid w:val="006947BD"/>
    <w:rsid w:val="006948CB"/>
    <w:rsid w:val="00695217"/>
    <w:rsid w:val="006957E5"/>
    <w:rsid w:val="0069714D"/>
    <w:rsid w:val="00697C58"/>
    <w:rsid w:val="006A0C89"/>
    <w:rsid w:val="006A1FA8"/>
    <w:rsid w:val="006A2409"/>
    <w:rsid w:val="006A2DCB"/>
    <w:rsid w:val="006A3223"/>
    <w:rsid w:val="006A3966"/>
    <w:rsid w:val="006A464F"/>
    <w:rsid w:val="006A4751"/>
    <w:rsid w:val="006A4F5C"/>
    <w:rsid w:val="006A54E4"/>
    <w:rsid w:val="006A577E"/>
    <w:rsid w:val="006A5BB3"/>
    <w:rsid w:val="006A6BBF"/>
    <w:rsid w:val="006A70BE"/>
    <w:rsid w:val="006A7698"/>
    <w:rsid w:val="006A77F0"/>
    <w:rsid w:val="006B008C"/>
    <w:rsid w:val="006B0B23"/>
    <w:rsid w:val="006B0C81"/>
    <w:rsid w:val="006B0F10"/>
    <w:rsid w:val="006B18B9"/>
    <w:rsid w:val="006B2AD5"/>
    <w:rsid w:val="006B4297"/>
    <w:rsid w:val="006B4CAE"/>
    <w:rsid w:val="006B5F96"/>
    <w:rsid w:val="006B6219"/>
    <w:rsid w:val="006B6640"/>
    <w:rsid w:val="006B6D69"/>
    <w:rsid w:val="006B6E8F"/>
    <w:rsid w:val="006B7964"/>
    <w:rsid w:val="006B7CA4"/>
    <w:rsid w:val="006C1325"/>
    <w:rsid w:val="006C19C6"/>
    <w:rsid w:val="006C20AF"/>
    <w:rsid w:val="006C35D0"/>
    <w:rsid w:val="006C3ED2"/>
    <w:rsid w:val="006C4044"/>
    <w:rsid w:val="006C4FB8"/>
    <w:rsid w:val="006C5021"/>
    <w:rsid w:val="006C5F9A"/>
    <w:rsid w:val="006C626D"/>
    <w:rsid w:val="006D0248"/>
    <w:rsid w:val="006D1877"/>
    <w:rsid w:val="006D19B8"/>
    <w:rsid w:val="006D287F"/>
    <w:rsid w:val="006D307C"/>
    <w:rsid w:val="006D3A0E"/>
    <w:rsid w:val="006D46D6"/>
    <w:rsid w:val="006D4D22"/>
    <w:rsid w:val="006D6048"/>
    <w:rsid w:val="006D6A68"/>
    <w:rsid w:val="006D7A72"/>
    <w:rsid w:val="006E035B"/>
    <w:rsid w:val="006E140C"/>
    <w:rsid w:val="006E18F6"/>
    <w:rsid w:val="006E1C9F"/>
    <w:rsid w:val="006E45ED"/>
    <w:rsid w:val="006E488E"/>
    <w:rsid w:val="006E5AE4"/>
    <w:rsid w:val="006E5E0C"/>
    <w:rsid w:val="006E6A3A"/>
    <w:rsid w:val="006F064A"/>
    <w:rsid w:val="006F0C32"/>
    <w:rsid w:val="006F279D"/>
    <w:rsid w:val="006F2C4F"/>
    <w:rsid w:val="006F409C"/>
    <w:rsid w:val="006F4AB0"/>
    <w:rsid w:val="006F4B8F"/>
    <w:rsid w:val="006F549C"/>
    <w:rsid w:val="006F5746"/>
    <w:rsid w:val="006F5EC2"/>
    <w:rsid w:val="006F6F0F"/>
    <w:rsid w:val="006F71B1"/>
    <w:rsid w:val="006F7D08"/>
    <w:rsid w:val="00700385"/>
    <w:rsid w:val="0070245A"/>
    <w:rsid w:val="00703318"/>
    <w:rsid w:val="007037BD"/>
    <w:rsid w:val="00705AD8"/>
    <w:rsid w:val="00706464"/>
    <w:rsid w:val="00706B02"/>
    <w:rsid w:val="00711452"/>
    <w:rsid w:val="007118A3"/>
    <w:rsid w:val="007139F9"/>
    <w:rsid w:val="00713AD0"/>
    <w:rsid w:val="007166C7"/>
    <w:rsid w:val="00716997"/>
    <w:rsid w:val="007175A8"/>
    <w:rsid w:val="00717833"/>
    <w:rsid w:val="0071796C"/>
    <w:rsid w:val="00720E6F"/>
    <w:rsid w:val="0072170A"/>
    <w:rsid w:val="00721986"/>
    <w:rsid w:val="007226BD"/>
    <w:rsid w:val="007233AA"/>
    <w:rsid w:val="007233EB"/>
    <w:rsid w:val="00724C9F"/>
    <w:rsid w:val="007253BB"/>
    <w:rsid w:val="007261A1"/>
    <w:rsid w:val="00726E45"/>
    <w:rsid w:val="00726FFB"/>
    <w:rsid w:val="007274CA"/>
    <w:rsid w:val="007276EB"/>
    <w:rsid w:val="00727F89"/>
    <w:rsid w:val="00731609"/>
    <w:rsid w:val="0073195A"/>
    <w:rsid w:val="00732BFA"/>
    <w:rsid w:val="007330BC"/>
    <w:rsid w:val="007338E0"/>
    <w:rsid w:val="00733CED"/>
    <w:rsid w:val="00734751"/>
    <w:rsid w:val="00734B65"/>
    <w:rsid w:val="0073561F"/>
    <w:rsid w:val="007365ED"/>
    <w:rsid w:val="0073793A"/>
    <w:rsid w:val="00737CDF"/>
    <w:rsid w:val="00740683"/>
    <w:rsid w:val="007410BC"/>
    <w:rsid w:val="0074140B"/>
    <w:rsid w:val="00741B51"/>
    <w:rsid w:val="00741D31"/>
    <w:rsid w:val="00743632"/>
    <w:rsid w:val="00743737"/>
    <w:rsid w:val="007448C0"/>
    <w:rsid w:val="007452D8"/>
    <w:rsid w:val="007457EA"/>
    <w:rsid w:val="00745C7A"/>
    <w:rsid w:val="00746459"/>
    <w:rsid w:val="007466F6"/>
    <w:rsid w:val="00746908"/>
    <w:rsid w:val="00747391"/>
    <w:rsid w:val="00747491"/>
    <w:rsid w:val="00747A80"/>
    <w:rsid w:val="00751521"/>
    <w:rsid w:val="00751D6A"/>
    <w:rsid w:val="0075382A"/>
    <w:rsid w:val="00754687"/>
    <w:rsid w:val="00754EFA"/>
    <w:rsid w:val="0075569D"/>
    <w:rsid w:val="00756CF8"/>
    <w:rsid w:val="00756E3E"/>
    <w:rsid w:val="00757325"/>
    <w:rsid w:val="00757B02"/>
    <w:rsid w:val="00760753"/>
    <w:rsid w:val="00760E89"/>
    <w:rsid w:val="00761BF2"/>
    <w:rsid w:val="00761EE1"/>
    <w:rsid w:val="00762063"/>
    <w:rsid w:val="00763CCD"/>
    <w:rsid w:val="00764C67"/>
    <w:rsid w:val="007658FE"/>
    <w:rsid w:val="00765EA5"/>
    <w:rsid w:val="00766075"/>
    <w:rsid w:val="00766BA2"/>
    <w:rsid w:val="00766DD7"/>
    <w:rsid w:val="00767B41"/>
    <w:rsid w:val="007703F0"/>
    <w:rsid w:val="0077041F"/>
    <w:rsid w:val="00771A39"/>
    <w:rsid w:val="00773BEA"/>
    <w:rsid w:val="00774CDC"/>
    <w:rsid w:val="00775C1B"/>
    <w:rsid w:val="00775E98"/>
    <w:rsid w:val="007770A3"/>
    <w:rsid w:val="00780308"/>
    <w:rsid w:val="007804CE"/>
    <w:rsid w:val="00780B60"/>
    <w:rsid w:val="00782011"/>
    <w:rsid w:val="00782996"/>
    <w:rsid w:val="0078334C"/>
    <w:rsid w:val="00783618"/>
    <w:rsid w:val="00783E00"/>
    <w:rsid w:val="0078454E"/>
    <w:rsid w:val="00784B04"/>
    <w:rsid w:val="0078558F"/>
    <w:rsid w:val="007867DB"/>
    <w:rsid w:val="00786AC1"/>
    <w:rsid w:val="0078720B"/>
    <w:rsid w:val="00787853"/>
    <w:rsid w:val="007878E3"/>
    <w:rsid w:val="0079003A"/>
    <w:rsid w:val="007936F7"/>
    <w:rsid w:val="007939F4"/>
    <w:rsid w:val="00795056"/>
    <w:rsid w:val="00795955"/>
    <w:rsid w:val="00795EB2"/>
    <w:rsid w:val="00797070"/>
    <w:rsid w:val="007A0208"/>
    <w:rsid w:val="007A0BB2"/>
    <w:rsid w:val="007A1691"/>
    <w:rsid w:val="007A2575"/>
    <w:rsid w:val="007A3638"/>
    <w:rsid w:val="007A3AA0"/>
    <w:rsid w:val="007A4E1F"/>
    <w:rsid w:val="007A6496"/>
    <w:rsid w:val="007A7760"/>
    <w:rsid w:val="007B0374"/>
    <w:rsid w:val="007B0517"/>
    <w:rsid w:val="007B0777"/>
    <w:rsid w:val="007B0D23"/>
    <w:rsid w:val="007B1DF7"/>
    <w:rsid w:val="007B24C5"/>
    <w:rsid w:val="007B2A00"/>
    <w:rsid w:val="007B38F6"/>
    <w:rsid w:val="007B3D38"/>
    <w:rsid w:val="007B4C9A"/>
    <w:rsid w:val="007B56CD"/>
    <w:rsid w:val="007B5C84"/>
    <w:rsid w:val="007B60C4"/>
    <w:rsid w:val="007B62A1"/>
    <w:rsid w:val="007B64C4"/>
    <w:rsid w:val="007B68CC"/>
    <w:rsid w:val="007B6958"/>
    <w:rsid w:val="007C00A9"/>
    <w:rsid w:val="007C06DA"/>
    <w:rsid w:val="007C093F"/>
    <w:rsid w:val="007C1B85"/>
    <w:rsid w:val="007C2205"/>
    <w:rsid w:val="007C23AD"/>
    <w:rsid w:val="007C28CE"/>
    <w:rsid w:val="007C360D"/>
    <w:rsid w:val="007C41E3"/>
    <w:rsid w:val="007C427F"/>
    <w:rsid w:val="007C51FC"/>
    <w:rsid w:val="007C5722"/>
    <w:rsid w:val="007C5790"/>
    <w:rsid w:val="007C7671"/>
    <w:rsid w:val="007C7CD9"/>
    <w:rsid w:val="007D0028"/>
    <w:rsid w:val="007D0AB2"/>
    <w:rsid w:val="007D0DD9"/>
    <w:rsid w:val="007D0ED4"/>
    <w:rsid w:val="007D13DB"/>
    <w:rsid w:val="007D2A0A"/>
    <w:rsid w:val="007D2CAE"/>
    <w:rsid w:val="007D2CD8"/>
    <w:rsid w:val="007D30CC"/>
    <w:rsid w:val="007D31C1"/>
    <w:rsid w:val="007D3FC3"/>
    <w:rsid w:val="007D46A2"/>
    <w:rsid w:val="007D50FF"/>
    <w:rsid w:val="007D51B0"/>
    <w:rsid w:val="007D6DE9"/>
    <w:rsid w:val="007D7737"/>
    <w:rsid w:val="007E278C"/>
    <w:rsid w:val="007E29FB"/>
    <w:rsid w:val="007E4452"/>
    <w:rsid w:val="007E4957"/>
    <w:rsid w:val="007E4C7D"/>
    <w:rsid w:val="007E4CC2"/>
    <w:rsid w:val="007E4DDF"/>
    <w:rsid w:val="007E65B3"/>
    <w:rsid w:val="007E6E2B"/>
    <w:rsid w:val="007E7FD3"/>
    <w:rsid w:val="007F330D"/>
    <w:rsid w:val="007F433D"/>
    <w:rsid w:val="007F603D"/>
    <w:rsid w:val="007F6130"/>
    <w:rsid w:val="007F6902"/>
    <w:rsid w:val="007F6E11"/>
    <w:rsid w:val="007F7F01"/>
    <w:rsid w:val="00800335"/>
    <w:rsid w:val="008009FD"/>
    <w:rsid w:val="00800E3A"/>
    <w:rsid w:val="0080131B"/>
    <w:rsid w:val="00801746"/>
    <w:rsid w:val="00802468"/>
    <w:rsid w:val="00803442"/>
    <w:rsid w:val="00803935"/>
    <w:rsid w:val="008046AD"/>
    <w:rsid w:val="00805EB0"/>
    <w:rsid w:val="00805EE0"/>
    <w:rsid w:val="00806CB3"/>
    <w:rsid w:val="008078ED"/>
    <w:rsid w:val="00807B01"/>
    <w:rsid w:val="00807F79"/>
    <w:rsid w:val="0081153E"/>
    <w:rsid w:val="00812015"/>
    <w:rsid w:val="00812FCA"/>
    <w:rsid w:val="00814754"/>
    <w:rsid w:val="00814AD6"/>
    <w:rsid w:val="00815D78"/>
    <w:rsid w:val="00815E72"/>
    <w:rsid w:val="008162DC"/>
    <w:rsid w:val="00817D29"/>
    <w:rsid w:val="00820249"/>
    <w:rsid w:val="00820D10"/>
    <w:rsid w:val="00820E03"/>
    <w:rsid w:val="00822C32"/>
    <w:rsid w:val="00822E4E"/>
    <w:rsid w:val="008244CB"/>
    <w:rsid w:val="0082568B"/>
    <w:rsid w:val="0082577F"/>
    <w:rsid w:val="0082594B"/>
    <w:rsid w:val="00825E97"/>
    <w:rsid w:val="00826C3A"/>
    <w:rsid w:val="00826F45"/>
    <w:rsid w:val="00827320"/>
    <w:rsid w:val="00827E63"/>
    <w:rsid w:val="0083103D"/>
    <w:rsid w:val="00831840"/>
    <w:rsid w:val="00832CCD"/>
    <w:rsid w:val="008357A0"/>
    <w:rsid w:val="00835F00"/>
    <w:rsid w:val="00836871"/>
    <w:rsid w:val="00836EC2"/>
    <w:rsid w:val="00837D2D"/>
    <w:rsid w:val="00841084"/>
    <w:rsid w:val="00841662"/>
    <w:rsid w:val="008426D1"/>
    <w:rsid w:val="00842848"/>
    <w:rsid w:val="0084343B"/>
    <w:rsid w:val="00843663"/>
    <w:rsid w:val="008436ED"/>
    <w:rsid w:val="00843BD4"/>
    <w:rsid w:val="00844454"/>
    <w:rsid w:val="008454A6"/>
    <w:rsid w:val="00846920"/>
    <w:rsid w:val="008473DB"/>
    <w:rsid w:val="008479D7"/>
    <w:rsid w:val="00847A9C"/>
    <w:rsid w:val="0085026C"/>
    <w:rsid w:val="00851BC5"/>
    <w:rsid w:val="00851F1D"/>
    <w:rsid w:val="00854589"/>
    <w:rsid w:val="0085520F"/>
    <w:rsid w:val="0085540A"/>
    <w:rsid w:val="008555DF"/>
    <w:rsid w:val="008567D9"/>
    <w:rsid w:val="00856C7C"/>
    <w:rsid w:val="00856E38"/>
    <w:rsid w:val="00856F0D"/>
    <w:rsid w:val="00857449"/>
    <w:rsid w:val="00857E8C"/>
    <w:rsid w:val="00860EC7"/>
    <w:rsid w:val="00861590"/>
    <w:rsid w:val="00861C7F"/>
    <w:rsid w:val="00861F4A"/>
    <w:rsid w:val="00862CE2"/>
    <w:rsid w:val="00863625"/>
    <w:rsid w:val="00863B34"/>
    <w:rsid w:val="00863F2A"/>
    <w:rsid w:val="00864D4A"/>
    <w:rsid w:val="0086673A"/>
    <w:rsid w:val="00866E36"/>
    <w:rsid w:val="00870144"/>
    <w:rsid w:val="00870B94"/>
    <w:rsid w:val="008715C5"/>
    <w:rsid w:val="0087284F"/>
    <w:rsid w:val="00872F6F"/>
    <w:rsid w:val="008747C9"/>
    <w:rsid w:val="008752C8"/>
    <w:rsid w:val="00875398"/>
    <w:rsid w:val="00875519"/>
    <w:rsid w:val="0087596A"/>
    <w:rsid w:val="00876824"/>
    <w:rsid w:val="00876B3D"/>
    <w:rsid w:val="00876EEC"/>
    <w:rsid w:val="00877D28"/>
    <w:rsid w:val="008809A7"/>
    <w:rsid w:val="00880B76"/>
    <w:rsid w:val="00880DF1"/>
    <w:rsid w:val="00881D91"/>
    <w:rsid w:val="0088288D"/>
    <w:rsid w:val="0088343C"/>
    <w:rsid w:val="00884BD0"/>
    <w:rsid w:val="00886A5B"/>
    <w:rsid w:val="00887B60"/>
    <w:rsid w:val="00887DB8"/>
    <w:rsid w:val="00887DF2"/>
    <w:rsid w:val="00891647"/>
    <w:rsid w:val="00891ACF"/>
    <w:rsid w:val="00893A0C"/>
    <w:rsid w:val="0089453A"/>
    <w:rsid w:val="00894668"/>
    <w:rsid w:val="00895A69"/>
    <w:rsid w:val="00896243"/>
    <w:rsid w:val="00896E57"/>
    <w:rsid w:val="00897002"/>
    <w:rsid w:val="008972E7"/>
    <w:rsid w:val="00897563"/>
    <w:rsid w:val="008A1949"/>
    <w:rsid w:val="008A1B13"/>
    <w:rsid w:val="008A2415"/>
    <w:rsid w:val="008A3518"/>
    <w:rsid w:val="008A3F4C"/>
    <w:rsid w:val="008A4609"/>
    <w:rsid w:val="008A4F1F"/>
    <w:rsid w:val="008A58DA"/>
    <w:rsid w:val="008A6A3C"/>
    <w:rsid w:val="008A6F68"/>
    <w:rsid w:val="008A7027"/>
    <w:rsid w:val="008A7071"/>
    <w:rsid w:val="008A7D50"/>
    <w:rsid w:val="008B03E4"/>
    <w:rsid w:val="008B1706"/>
    <w:rsid w:val="008B34C9"/>
    <w:rsid w:val="008B3A05"/>
    <w:rsid w:val="008B3FA2"/>
    <w:rsid w:val="008B4980"/>
    <w:rsid w:val="008B5697"/>
    <w:rsid w:val="008B5FF2"/>
    <w:rsid w:val="008B7437"/>
    <w:rsid w:val="008B7E34"/>
    <w:rsid w:val="008C099F"/>
    <w:rsid w:val="008C1BB7"/>
    <w:rsid w:val="008C1CB4"/>
    <w:rsid w:val="008C2BAB"/>
    <w:rsid w:val="008C2D86"/>
    <w:rsid w:val="008C406E"/>
    <w:rsid w:val="008C466C"/>
    <w:rsid w:val="008C4CF5"/>
    <w:rsid w:val="008C624E"/>
    <w:rsid w:val="008C6CD3"/>
    <w:rsid w:val="008C7719"/>
    <w:rsid w:val="008C7DD9"/>
    <w:rsid w:val="008D20FB"/>
    <w:rsid w:val="008D269C"/>
    <w:rsid w:val="008D29B5"/>
    <w:rsid w:val="008D57E5"/>
    <w:rsid w:val="008D5B08"/>
    <w:rsid w:val="008D5CF8"/>
    <w:rsid w:val="008D633A"/>
    <w:rsid w:val="008D6BAA"/>
    <w:rsid w:val="008D717A"/>
    <w:rsid w:val="008D7D35"/>
    <w:rsid w:val="008E04ED"/>
    <w:rsid w:val="008E0C9C"/>
    <w:rsid w:val="008E2997"/>
    <w:rsid w:val="008E2DB8"/>
    <w:rsid w:val="008E35A8"/>
    <w:rsid w:val="008E4C99"/>
    <w:rsid w:val="008E4E2E"/>
    <w:rsid w:val="008E569B"/>
    <w:rsid w:val="008E5B3A"/>
    <w:rsid w:val="008E6522"/>
    <w:rsid w:val="008E6BAC"/>
    <w:rsid w:val="008E7246"/>
    <w:rsid w:val="008E7ACA"/>
    <w:rsid w:val="008F0BE8"/>
    <w:rsid w:val="008F0C20"/>
    <w:rsid w:val="008F3A9C"/>
    <w:rsid w:val="008F5BA4"/>
    <w:rsid w:val="008F6128"/>
    <w:rsid w:val="008F67EC"/>
    <w:rsid w:val="008F6BBD"/>
    <w:rsid w:val="008F6EB2"/>
    <w:rsid w:val="008F74E4"/>
    <w:rsid w:val="008F7979"/>
    <w:rsid w:val="00900CEE"/>
    <w:rsid w:val="009012FE"/>
    <w:rsid w:val="00901572"/>
    <w:rsid w:val="00901AE8"/>
    <w:rsid w:val="009024A9"/>
    <w:rsid w:val="00902BC2"/>
    <w:rsid w:val="009034B3"/>
    <w:rsid w:val="0090530D"/>
    <w:rsid w:val="00905E3B"/>
    <w:rsid w:val="009062E8"/>
    <w:rsid w:val="009073F4"/>
    <w:rsid w:val="0091290A"/>
    <w:rsid w:val="00917B07"/>
    <w:rsid w:val="009211D5"/>
    <w:rsid w:val="00921790"/>
    <w:rsid w:val="0092184F"/>
    <w:rsid w:val="00921E59"/>
    <w:rsid w:val="00922602"/>
    <w:rsid w:val="0092337E"/>
    <w:rsid w:val="00923607"/>
    <w:rsid w:val="00924AAE"/>
    <w:rsid w:val="00924C88"/>
    <w:rsid w:val="009254FC"/>
    <w:rsid w:val="00926086"/>
    <w:rsid w:val="00926B67"/>
    <w:rsid w:val="00926F97"/>
    <w:rsid w:val="009270EA"/>
    <w:rsid w:val="00930427"/>
    <w:rsid w:val="0093100C"/>
    <w:rsid w:val="00931BD4"/>
    <w:rsid w:val="00931EB6"/>
    <w:rsid w:val="00932EDF"/>
    <w:rsid w:val="00932FDA"/>
    <w:rsid w:val="00933F50"/>
    <w:rsid w:val="009343D0"/>
    <w:rsid w:val="00935A94"/>
    <w:rsid w:val="00935AED"/>
    <w:rsid w:val="00936041"/>
    <w:rsid w:val="009367BA"/>
    <w:rsid w:val="00936BB4"/>
    <w:rsid w:val="0093741E"/>
    <w:rsid w:val="0094085C"/>
    <w:rsid w:val="00941938"/>
    <w:rsid w:val="00941E96"/>
    <w:rsid w:val="00942538"/>
    <w:rsid w:val="00944DD0"/>
    <w:rsid w:val="009454FA"/>
    <w:rsid w:val="0094621D"/>
    <w:rsid w:val="009469CD"/>
    <w:rsid w:val="00947048"/>
    <w:rsid w:val="009507F4"/>
    <w:rsid w:val="00950806"/>
    <w:rsid w:val="00950CCD"/>
    <w:rsid w:val="00951EFC"/>
    <w:rsid w:val="0095212D"/>
    <w:rsid w:val="00954176"/>
    <w:rsid w:val="00955768"/>
    <w:rsid w:val="00956EA4"/>
    <w:rsid w:val="00956EE9"/>
    <w:rsid w:val="009571DB"/>
    <w:rsid w:val="0096097A"/>
    <w:rsid w:val="00961D36"/>
    <w:rsid w:val="0096214F"/>
    <w:rsid w:val="009627E7"/>
    <w:rsid w:val="00962A07"/>
    <w:rsid w:val="009632AC"/>
    <w:rsid w:val="00964715"/>
    <w:rsid w:val="00966360"/>
    <w:rsid w:val="0097023D"/>
    <w:rsid w:val="00970284"/>
    <w:rsid w:val="00970703"/>
    <w:rsid w:val="00970B0F"/>
    <w:rsid w:val="009716B0"/>
    <w:rsid w:val="0097178B"/>
    <w:rsid w:val="0097194D"/>
    <w:rsid w:val="0097213D"/>
    <w:rsid w:val="00972ACE"/>
    <w:rsid w:val="00972CF7"/>
    <w:rsid w:val="00972EDB"/>
    <w:rsid w:val="0097306F"/>
    <w:rsid w:val="009756A7"/>
    <w:rsid w:val="00975B9D"/>
    <w:rsid w:val="009767DF"/>
    <w:rsid w:val="009767F8"/>
    <w:rsid w:val="00976E3D"/>
    <w:rsid w:val="00977178"/>
    <w:rsid w:val="00977D65"/>
    <w:rsid w:val="009801C0"/>
    <w:rsid w:val="00980912"/>
    <w:rsid w:val="00981BB3"/>
    <w:rsid w:val="00981C86"/>
    <w:rsid w:val="00981D4C"/>
    <w:rsid w:val="00982CC7"/>
    <w:rsid w:val="00982EF0"/>
    <w:rsid w:val="00983C16"/>
    <w:rsid w:val="00983CF3"/>
    <w:rsid w:val="009844CB"/>
    <w:rsid w:val="009854A6"/>
    <w:rsid w:val="00987CCC"/>
    <w:rsid w:val="00987E8F"/>
    <w:rsid w:val="009901A8"/>
    <w:rsid w:val="00990A16"/>
    <w:rsid w:val="0099199C"/>
    <w:rsid w:val="00991E5A"/>
    <w:rsid w:val="00992800"/>
    <w:rsid w:val="00992A73"/>
    <w:rsid w:val="00992B94"/>
    <w:rsid w:val="00993088"/>
    <w:rsid w:val="009936F0"/>
    <w:rsid w:val="009939D6"/>
    <w:rsid w:val="00993C79"/>
    <w:rsid w:val="0099453C"/>
    <w:rsid w:val="00994C5D"/>
    <w:rsid w:val="009950AE"/>
    <w:rsid w:val="0099581B"/>
    <w:rsid w:val="00995A76"/>
    <w:rsid w:val="00995CF8"/>
    <w:rsid w:val="00996802"/>
    <w:rsid w:val="00996C1A"/>
    <w:rsid w:val="009A07A6"/>
    <w:rsid w:val="009A1A96"/>
    <w:rsid w:val="009A2212"/>
    <w:rsid w:val="009A23F7"/>
    <w:rsid w:val="009A24FA"/>
    <w:rsid w:val="009A25ED"/>
    <w:rsid w:val="009A279E"/>
    <w:rsid w:val="009A27CC"/>
    <w:rsid w:val="009A2A39"/>
    <w:rsid w:val="009A3F63"/>
    <w:rsid w:val="009A491E"/>
    <w:rsid w:val="009A494F"/>
    <w:rsid w:val="009A4A37"/>
    <w:rsid w:val="009A63CD"/>
    <w:rsid w:val="009A709B"/>
    <w:rsid w:val="009B02B4"/>
    <w:rsid w:val="009B04D2"/>
    <w:rsid w:val="009B0FCA"/>
    <w:rsid w:val="009B1A91"/>
    <w:rsid w:val="009B4587"/>
    <w:rsid w:val="009B5D8C"/>
    <w:rsid w:val="009B61F8"/>
    <w:rsid w:val="009B633C"/>
    <w:rsid w:val="009B7795"/>
    <w:rsid w:val="009B7995"/>
    <w:rsid w:val="009C0BE1"/>
    <w:rsid w:val="009C0FDF"/>
    <w:rsid w:val="009C41C6"/>
    <w:rsid w:val="009C46B1"/>
    <w:rsid w:val="009C4A7B"/>
    <w:rsid w:val="009C60F7"/>
    <w:rsid w:val="009C7545"/>
    <w:rsid w:val="009D1775"/>
    <w:rsid w:val="009D18FA"/>
    <w:rsid w:val="009D3B4C"/>
    <w:rsid w:val="009D454A"/>
    <w:rsid w:val="009D4CDB"/>
    <w:rsid w:val="009D53C4"/>
    <w:rsid w:val="009D56A7"/>
    <w:rsid w:val="009D5D90"/>
    <w:rsid w:val="009D7863"/>
    <w:rsid w:val="009E16EA"/>
    <w:rsid w:val="009E1B4B"/>
    <w:rsid w:val="009E1BCF"/>
    <w:rsid w:val="009E213B"/>
    <w:rsid w:val="009E3FDA"/>
    <w:rsid w:val="009E43A2"/>
    <w:rsid w:val="009E5940"/>
    <w:rsid w:val="009E66DF"/>
    <w:rsid w:val="009E6860"/>
    <w:rsid w:val="009E6898"/>
    <w:rsid w:val="009E6F61"/>
    <w:rsid w:val="009E7032"/>
    <w:rsid w:val="009F0B9C"/>
    <w:rsid w:val="009F0F94"/>
    <w:rsid w:val="009F156B"/>
    <w:rsid w:val="009F184C"/>
    <w:rsid w:val="009F1AA5"/>
    <w:rsid w:val="009F28F5"/>
    <w:rsid w:val="009F3891"/>
    <w:rsid w:val="009F3ED7"/>
    <w:rsid w:val="009F440A"/>
    <w:rsid w:val="009F484E"/>
    <w:rsid w:val="009F65EE"/>
    <w:rsid w:val="009F67B1"/>
    <w:rsid w:val="009F744A"/>
    <w:rsid w:val="009F7C37"/>
    <w:rsid w:val="00A00EBC"/>
    <w:rsid w:val="00A01A50"/>
    <w:rsid w:val="00A01DE4"/>
    <w:rsid w:val="00A03C01"/>
    <w:rsid w:val="00A0434C"/>
    <w:rsid w:val="00A04F7F"/>
    <w:rsid w:val="00A05495"/>
    <w:rsid w:val="00A054D5"/>
    <w:rsid w:val="00A06F64"/>
    <w:rsid w:val="00A128BF"/>
    <w:rsid w:val="00A143C1"/>
    <w:rsid w:val="00A15104"/>
    <w:rsid w:val="00A1530A"/>
    <w:rsid w:val="00A15F8F"/>
    <w:rsid w:val="00A16647"/>
    <w:rsid w:val="00A16C44"/>
    <w:rsid w:val="00A173AC"/>
    <w:rsid w:val="00A202F6"/>
    <w:rsid w:val="00A203F0"/>
    <w:rsid w:val="00A21463"/>
    <w:rsid w:val="00A216A5"/>
    <w:rsid w:val="00A21CCB"/>
    <w:rsid w:val="00A235FF"/>
    <w:rsid w:val="00A23785"/>
    <w:rsid w:val="00A25469"/>
    <w:rsid w:val="00A26848"/>
    <w:rsid w:val="00A26B0D"/>
    <w:rsid w:val="00A27C6F"/>
    <w:rsid w:val="00A27CC2"/>
    <w:rsid w:val="00A30A61"/>
    <w:rsid w:val="00A30D30"/>
    <w:rsid w:val="00A311F3"/>
    <w:rsid w:val="00A311FF"/>
    <w:rsid w:val="00A31A1B"/>
    <w:rsid w:val="00A31D91"/>
    <w:rsid w:val="00A32C24"/>
    <w:rsid w:val="00A3364C"/>
    <w:rsid w:val="00A336EF"/>
    <w:rsid w:val="00A3445E"/>
    <w:rsid w:val="00A344B8"/>
    <w:rsid w:val="00A346F5"/>
    <w:rsid w:val="00A34E1D"/>
    <w:rsid w:val="00A361BE"/>
    <w:rsid w:val="00A36265"/>
    <w:rsid w:val="00A36F05"/>
    <w:rsid w:val="00A37370"/>
    <w:rsid w:val="00A37617"/>
    <w:rsid w:val="00A407BB"/>
    <w:rsid w:val="00A40B83"/>
    <w:rsid w:val="00A40ED4"/>
    <w:rsid w:val="00A42640"/>
    <w:rsid w:val="00A43095"/>
    <w:rsid w:val="00A43B2D"/>
    <w:rsid w:val="00A443A3"/>
    <w:rsid w:val="00A45753"/>
    <w:rsid w:val="00A47D0B"/>
    <w:rsid w:val="00A504E0"/>
    <w:rsid w:val="00A52DB2"/>
    <w:rsid w:val="00A52EC9"/>
    <w:rsid w:val="00A5450E"/>
    <w:rsid w:val="00A5488A"/>
    <w:rsid w:val="00A56813"/>
    <w:rsid w:val="00A56872"/>
    <w:rsid w:val="00A56F0A"/>
    <w:rsid w:val="00A604C8"/>
    <w:rsid w:val="00A621E2"/>
    <w:rsid w:val="00A625D3"/>
    <w:rsid w:val="00A629DE"/>
    <w:rsid w:val="00A62BFB"/>
    <w:rsid w:val="00A63312"/>
    <w:rsid w:val="00A63C8B"/>
    <w:rsid w:val="00A64150"/>
    <w:rsid w:val="00A652C2"/>
    <w:rsid w:val="00A66532"/>
    <w:rsid w:val="00A67E61"/>
    <w:rsid w:val="00A70D4E"/>
    <w:rsid w:val="00A70E48"/>
    <w:rsid w:val="00A70EE3"/>
    <w:rsid w:val="00A72459"/>
    <w:rsid w:val="00A72D25"/>
    <w:rsid w:val="00A72D9D"/>
    <w:rsid w:val="00A7374D"/>
    <w:rsid w:val="00A75EFA"/>
    <w:rsid w:val="00A762EC"/>
    <w:rsid w:val="00A77C5E"/>
    <w:rsid w:val="00A80B2F"/>
    <w:rsid w:val="00A8140A"/>
    <w:rsid w:val="00A82042"/>
    <w:rsid w:val="00A820FE"/>
    <w:rsid w:val="00A82DEE"/>
    <w:rsid w:val="00A836BC"/>
    <w:rsid w:val="00A840BD"/>
    <w:rsid w:val="00A84FA7"/>
    <w:rsid w:val="00A853B1"/>
    <w:rsid w:val="00A8548D"/>
    <w:rsid w:val="00A85976"/>
    <w:rsid w:val="00A85AFC"/>
    <w:rsid w:val="00A87F1B"/>
    <w:rsid w:val="00A90694"/>
    <w:rsid w:val="00A90764"/>
    <w:rsid w:val="00A90B3E"/>
    <w:rsid w:val="00A90B6B"/>
    <w:rsid w:val="00A93AB8"/>
    <w:rsid w:val="00A93F86"/>
    <w:rsid w:val="00A9409B"/>
    <w:rsid w:val="00A94FFF"/>
    <w:rsid w:val="00A960D2"/>
    <w:rsid w:val="00A9634B"/>
    <w:rsid w:val="00A96438"/>
    <w:rsid w:val="00A976A9"/>
    <w:rsid w:val="00AA07FC"/>
    <w:rsid w:val="00AA134D"/>
    <w:rsid w:val="00AA1530"/>
    <w:rsid w:val="00AA17F9"/>
    <w:rsid w:val="00AA3189"/>
    <w:rsid w:val="00AA3B08"/>
    <w:rsid w:val="00AA46DC"/>
    <w:rsid w:val="00AB10BE"/>
    <w:rsid w:val="00AB2449"/>
    <w:rsid w:val="00AB3658"/>
    <w:rsid w:val="00AB6113"/>
    <w:rsid w:val="00AB69B4"/>
    <w:rsid w:val="00AB70F9"/>
    <w:rsid w:val="00AB7AE2"/>
    <w:rsid w:val="00AB7AFE"/>
    <w:rsid w:val="00AC0587"/>
    <w:rsid w:val="00AC16A6"/>
    <w:rsid w:val="00AC1A39"/>
    <w:rsid w:val="00AC1C1D"/>
    <w:rsid w:val="00AC1C51"/>
    <w:rsid w:val="00AC32D4"/>
    <w:rsid w:val="00AC3751"/>
    <w:rsid w:val="00AC431A"/>
    <w:rsid w:val="00AC4C29"/>
    <w:rsid w:val="00AC5065"/>
    <w:rsid w:val="00AC72D2"/>
    <w:rsid w:val="00AC7B1E"/>
    <w:rsid w:val="00AD0F75"/>
    <w:rsid w:val="00AD125A"/>
    <w:rsid w:val="00AD140B"/>
    <w:rsid w:val="00AD1CEE"/>
    <w:rsid w:val="00AD2A82"/>
    <w:rsid w:val="00AD2B4D"/>
    <w:rsid w:val="00AD3116"/>
    <w:rsid w:val="00AD3A4E"/>
    <w:rsid w:val="00AD4AA9"/>
    <w:rsid w:val="00AD541D"/>
    <w:rsid w:val="00AD59D8"/>
    <w:rsid w:val="00AD5A25"/>
    <w:rsid w:val="00AD5ABC"/>
    <w:rsid w:val="00AD6030"/>
    <w:rsid w:val="00AD6230"/>
    <w:rsid w:val="00AD6957"/>
    <w:rsid w:val="00AD7C6C"/>
    <w:rsid w:val="00AE0661"/>
    <w:rsid w:val="00AE0F95"/>
    <w:rsid w:val="00AE1A05"/>
    <w:rsid w:val="00AE280B"/>
    <w:rsid w:val="00AE3047"/>
    <w:rsid w:val="00AE3426"/>
    <w:rsid w:val="00AE3806"/>
    <w:rsid w:val="00AE4596"/>
    <w:rsid w:val="00AE45F4"/>
    <w:rsid w:val="00AE50B7"/>
    <w:rsid w:val="00AE5622"/>
    <w:rsid w:val="00AE56D0"/>
    <w:rsid w:val="00AF0655"/>
    <w:rsid w:val="00AF1B80"/>
    <w:rsid w:val="00AF2A26"/>
    <w:rsid w:val="00AF2BAC"/>
    <w:rsid w:val="00AF2EA0"/>
    <w:rsid w:val="00AF3061"/>
    <w:rsid w:val="00AF391E"/>
    <w:rsid w:val="00AF3AFB"/>
    <w:rsid w:val="00AF44AF"/>
    <w:rsid w:val="00AF5273"/>
    <w:rsid w:val="00AF59F2"/>
    <w:rsid w:val="00AF6601"/>
    <w:rsid w:val="00AF7091"/>
    <w:rsid w:val="00AF71F6"/>
    <w:rsid w:val="00AF7BFF"/>
    <w:rsid w:val="00AF7F54"/>
    <w:rsid w:val="00AF7FEA"/>
    <w:rsid w:val="00B0001C"/>
    <w:rsid w:val="00B005D7"/>
    <w:rsid w:val="00B00BCA"/>
    <w:rsid w:val="00B00E95"/>
    <w:rsid w:val="00B00EE8"/>
    <w:rsid w:val="00B0116D"/>
    <w:rsid w:val="00B015DB"/>
    <w:rsid w:val="00B01F6D"/>
    <w:rsid w:val="00B03C03"/>
    <w:rsid w:val="00B03E90"/>
    <w:rsid w:val="00B043AC"/>
    <w:rsid w:val="00B07075"/>
    <w:rsid w:val="00B07190"/>
    <w:rsid w:val="00B076ED"/>
    <w:rsid w:val="00B106E0"/>
    <w:rsid w:val="00B11235"/>
    <w:rsid w:val="00B12419"/>
    <w:rsid w:val="00B12E7E"/>
    <w:rsid w:val="00B1307A"/>
    <w:rsid w:val="00B13B0B"/>
    <w:rsid w:val="00B15636"/>
    <w:rsid w:val="00B157B9"/>
    <w:rsid w:val="00B166A0"/>
    <w:rsid w:val="00B1762A"/>
    <w:rsid w:val="00B17AD6"/>
    <w:rsid w:val="00B17F1D"/>
    <w:rsid w:val="00B211AA"/>
    <w:rsid w:val="00B2173C"/>
    <w:rsid w:val="00B218F5"/>
    <w:rsid w:val="00B21DDF"/>
    <w:rsid w:val="00B22789"/>
    <w:rsid w:val="00B2281F"/>
    <w:rsid w:val="00B23226"/>
    <w:rsid w:val="00B24A0D"/>
    <w:rsid w:val="00B250B1"/>
    <w:rsid w:val="00B26059"/>
    <w:rsid w:val="00B261C0"/>
    <w:rsid w:val="00B2639D"/>
    <w:rsid w:val="00B26F02"/>
    <w:rsid w:val="00B30527"/>
    <w:rsid w:val="00B32441"/>
    <w:rsid w:val="00B32C67"/>
    <w:rsid w:val="00B336AC"/>
    <w:rsid w:val="00B33B3A"/>
    <w:rsid w:val="00B33F56"/>
    <w:rsid w:val="00B33F5E"/>
    <w:rsid w:val="00B3437F"/>
    <w:rsid w:val="00B35E03"/>
    <w:rsid w:val="00B37977"/>
    <w:rsid w:val="00B40054"/>
    <w:rsid w:val="00B40165"/>
    <w:rsid w:val="00B40D7D"/>
    <w:rsid w:val="00B410C4"/>
    <w:rsid w:val="00B41C66"/>
    <w:rsid w:val="00B42658"/>
    <w:rsid w:val="00B43459"/>
    <w:rsid w:val="00B44F7F"/>
    <w:rsid w:val="00B500DE"/>
    <w:rsid w:val="00B50185"/>
    <w:rsid w:val="00B511CB"/>
    <w:rsid w:val="00B51DEE"/>
    <w:rsid w:val="00B52405"/>
    <w:rsid w:val="00B529A7"/>
    <w:rsid w:val="00B54838"/>
    <w:rsid w:val="00B559CD"/>
    <w:rsid w:val="00B56EB3"/>
    <w:rsid w:val="00B60038"/>
    <w:rsid w:val="00B6015B"/>
    <w:rsid w:val="00B61026"/>
    <w:rsid w:val="00B6103F"/>
    <w:rsid w:val="00B616E0"/>
    <w:rsid w:val="00B61C08"/>
    <w:rsid w:val="00B61D67"/>
    <w:rsid w:val="00B61F35"/>
    <w:rsid w:val="00B633AC"/>
    <w:rsid w:val="00B63443"/>
    <w:rsid w:val="00B65049"/>
    <w:rsid w:val="00B6555C"/>
    <w:rsid w:val="00B658DE"/>
    <w:rsid w:val="00B65F16"/>
    <w:rsid w:val="00B661EE"/>
    <w:rsid w:val="00B667D3"/>
    <w:rsid w:val="00B710C7"/>
    <w:rsid w:val="00B717A9"/>
    <w:rsid w:val="00B73A60"/>
    <w:rsid w:val="00B73F8E"/>
    <w:rsid w:val="00B7435C"/>
    <w:rsid w:val="00B7567A"/>
    <w:rsid w:val="00B76614"/>
    <w:rsid w:val="00B76F30"/>
    <w:rsid w:val="00B804BE"/>
    <w:rsid w:val="00B808C0"/>
    <w:rsid w:val="00B81B02"/>
    <w:rsid w:val="00B81C78"/>
    <w:rsid w:val="00B837CE"/>
    <w:rsid w:val="00B84577"/>
    <w:rsid w:val="00B85DAB"/>
    <w:rsid w:val="00B85E7E"/>
    <w:rsid w:val="00B86416"/>
    <w:rsid w:val="00B86ABB"/>
    <w:rsid w:val="00B8769E"/>
    <w:rsid w:val="00B911F1"/>
    <w:rsid w:val="00B9122A"/>
    <w:rsid w:val="00B91599"/>
    <w:rsid w:val="00B929C3"/>
    <w:rsid w:val="00B92A90"/>
    <w:rsid w:val="00B92D80"/>
    <w:rsid w:val="00B93207"/>
    <w:rsid w:val="00B93477"/>
    <w:rsid w:val="00B940B1"/>
    <w:rsid w:val="00B940BE"/>
    <w:rsid w:val="00B9479C"/>
    <w:rsid w:val="00B968A8"/>
    <w:rsid w:val="00BA067A"/>
    <w:rsid w:val="00BA0D83"/>
    <w:rsid w:val="00BA0ECA"/>
    <w:rsid w:val="00BA186F"/>
    <w:rsid w:val="00BA1A8C"/>
    <w:rsid w:val="00BA1E74"/>
    <w:rsid w:val="00BA224A"/>
    <w:rsid w:val="00BA3EDB"/>
    <w:rsid w:val="00BA67B2"/>
    <w:rsid w:val="00BB0A8C"/>
    <w:rsid w:val="00BB0E53"/>
    <w:rsid w:val="00BB1521"/>
    <w:rsid w:val="00BB203A"/>
    <w:rsid w:val="00BB2178"/>
    <w:rsid w:val="00BB2A15"/>
    <w:rsid w:val="00BB3678"/>
    <w:rsid w:val="00BB4925"/>
    <w:rsid w:val="00BB68DF"/>
    <w:rsid w:val="00BB7562"/>
    <w:rsid w:val="00BC0C14"/>
    <w:rsid w:val="00BC13AF"/>
    <w:rsid w:val="00BC269A"/>
    <w:rsid w:val="00BC2758"/>
    <w:rsid w:val="00BC2F81"/>
    <w:rsid w:val="00BC3C76"/>
    <w:rsid w:val="00BC3FAB"/>
    <w:rsid w:val="00BC43DB"/>
    <w:rsid w:val="00BC464B"/>
    <w:rsid w:val="00BC5C20"/>
    <w:rsid w:val="00BC6279"/>
    <w:rsid w:val="00BC71A2"/>
    <w:rsid w:val="00BC71E7"/>
    <w:rsid w:val="00BC750B"/>
    <w:rsid w:val="00BC7B2B"/>
    <w:rsid w:val="00BD062C"/>
    <w:rsid w:val="00BD0694"/>
    <w:rsid w:val="00BD11EB"/>
    <w:rsid w:val="00BD1FDC"/>
    <w:rsid w:val="00BD2A00"/>
    <w:rsid w:val="00BD3BD6"/>
    <w:rsid w:val="00BD59AD"/>
    <w:rsid w:val="00BD59EC"/>
    <w:rsid w:val="00BD677D"/>
    <w:rsid w:val="00BD682F"/>
    <w:rsid w:val="00BD739A"/>
    <w:rsid w:val="00BD7832"/>
    <w:rsid w:val="00BE04A1"/>
    <w:rsid w:val="00BE0903"/>
    <w:rsid w:val="00BE1FF7"/>
    <w:rsid w:val="00BE257E"/>
    <w:rsid w:val="00BE43B6"/>
    <w:rsid w:val="00BE458F"/>
    <w:rsid w:val="00BE4606"/>
    <w:rsid w:val="00BE5716"/>
    <w:rsid w:val="00BE5CED"/>
    <w:rsid w:val="00BE6169"/>
    <w:rsid w:val="00BE6226"/>
    <w:rsid w:val="00BE6A37"/>
    <w:rsid w:val="00BE709F"/>
    <w:rsid w:val="00BE7622"/>
    <w:rsid w:val="00BF1445"/>
    <w:rsid w:val="00BF1630"/>
    <w:rsid w:val="00BF1B72"/>
    <w:rsid w:val="00BF398F"/>
    <w:rsid w:val="00BF3F95"/>
    <w:rsid w:val="00BF3FAF"/>
    <w:rsid w:val="00BF422B"/>
    <w:rsid w:val="00BF447A"/>
    <w:rsid w:val="00BF4907"/>
    <w:rsid w:val="00BF4F45"/>
    <w:rsid w:val="00BF5404"/>
    <w:rsid w:val="00BF5533"/>
    <w:rsid w:val="00BF6921"/>
    <w:rsid w:val="00BF6A20"/>
    <w:rsid w:val="00C00AFE"/>
    <w:rsid w:val="00C01183"/>
    <w:rsid w:val="00C01ABD"/>
    <w:rsid w:val="00C02717"/>
    <w:rsid w:val="00C02E3B"/>
    <w:rsid w:val="00C03EC2"/>
    <w:rsid w:val="00C03F22"/>
    <w:rsid w:val="00C04EB7"/>
    <w:rsid w:val="00C06208"/>
    <w:rsid w:val="00C066D9"/>
    <w:rsid w:val="00C07993"/>
    <w:rsid w:val="00C07A00"/>
    <w:rsid w:val="00C109CE"/>
    <w:rsid w:val="00C10D9C"/>
    <w:rsid w:val="00C10F0D"/>
    <w:rsid w:val="00C110A8"/>
    <w:rsid w:val="00C13004"/>
    <w:rsid w:val="00C15DBE"/>
    <w:rsid w:val="00C162D3"/>
    <w:rsid w:val="00C16BEE"/>
    <w:rsid w:val="00C171DF"/>
    <w:rsid w:val="00C17904"/>
    <w:rsid w:val="00C212AB"/>
    <w:rsid w:val="00C22DF0"/>
    <w:rsid w:val="00C24724"/>
    <w:rsid w:val="00C2586C"/>
    <w:rsid w:val="00C25988"/>
    <w:rsid w:val="00C26769"/>
    <w:rsid w:val="00C26D75"/>
    <w:rsid w:val="00C27F8A"/>
    <w:rsid w:val="00C31E8B"/>
    <w:rsid w:val="00C322C6"/>
    <w:rsid w:val="00C3267A"/>
    <w:rsid w:val="00C32701"/>
    <w:rsid w:val="00C344AF"/>
    <w:rsid w:val="00C344D8"/>
    <w:rsid w:val="00C348C4"/>
    <w:rsid w:val="00C34C8E"/>
    <w:rsid w:val="00C36F50"/>
    <w:rsid w:val="00C3746B"/>
    <w:rsid w:val="00C37BE8"/>
    <w:rsid w:val="00C40105"/>
    <w:rsid w:val="00C4143D"/>
    <w:rsid w:val="00C41F0D"/>
    <w:rsid w:val="00C41FCB"/>
    <w:rsid w:val="00C43812"/>
    <w:rsid w:val="00C43958"/>
    <w:rsid w:val="00C4586B"/>
    <w:rsid w:val="00C4604E"/>
    <w:rsid w:val="00C50E66"/>
    <w:rsid w:val="00C50EA8"/>
    <w:rsid w:val="00C50FE0"/>
    <w:rsid w:val="00C51533"/>
    <w:rsid w:val="00C53B2B"/>
    <w:rsid w:val="00C54392"/>
    <w:rsid w:val="00C5454F"/>
    <w:rsid w:val="00C555BA"/>
    <w:rsid w:val="00C55CC3"/>
    <w:rsid w:val="00C57932"/>
    <w:rsid w:val="00C627CA"/>
    <w:rsid w:val="00C63D20"/>
    <w:rsid w:val="00C64092"/>
    <w:rsid w:val="00C64F05"/>
    <w:rsid w:val="00C6547A"/>
    <w:rsid w:val="00C65736"/>
    <w:rsid w:val="00C660B2"/>
    <w:rsid w:val="00C666A5"/>
    <w:rsid w:val="00C67949"/>
    <w:rsid w:val="00C679BB"/>
    <w:rsid w:val="00C739D3"/>
    <w:rsid w:val="00C73B64"/>
    <w:rsid w:val="00C75BC7"/>
    <w:rsid w:val="00C769B5"/>
    <w:rsid w:val="00C814D3"/>
    <w:rsid w:val="00C8171F"/>
    <w:rsid w:val="00C82513"/>
    <w:rsid w:val="00C850D6"/>
    <w:rsid w:val="00C857D2"/>
    <w:rsid w:val="00C85953"/>
    <w:rsid w:val="00C86F85"/>
    <w:rsid w:val="00C91B24"/>
    <w:rsid w:val="00C91D48"/>
    <w:rsid w:val="00C92B22"/>
    <w:rsid w:val="00C92D72"/>
    <w:rsid w:val="00C93BEA"/>
    <w:rsid w:val="00C93C76"/>
    <w:rsid w:val="00C9460D"/>
    <w:rsid w:val="00C96B28"/>
    <w:rsid w:val="00CA004C"/>
    <w:rsid w:val="00CA0806"/>
    <w:rsid w:val="00CA1A78"/>
    <w:rsid w:val="00CA29B4"/>
    <w:rsid w:val="00CA2DBA"/>
    <w:rsid w:val="00CA4B1F"/>
    <w:rsid w:val="00CA55D6"/>
    <w:rsid w:val="00CA593D"/>
    <w:rsid w:val="00CA5F8C"/>
    <w:rsid w:val="00CA61C0"/>
    <w:rsid w:val="00CA6265"/>
    <w:rsid w:val="00CA7D72"/>
    <w:rsid w:val="00CB0448"/>
    <w:rsid w:val="00CB23B3"/>
    <w:rsid w:val="00CB2816"/>
    <w:rsid w:val="00CB2BC4"/>
    <w:rsid w:val="00CB2EE7"/>
    <w:rsid w:val="00CB3098"/>
    <w:rsid w:val="00CB3C4E"/>
    <w:rsid w:val="00CB4705"/>
    <w:rsid w:val="00CB4D81"/>
    <w:rsid w:val="00CB5A1D"/>
    <w:rsid w:val="00CB5C84"/>
    <w:rsid w:val="00CB653F"/>
    <w:rsid w:val="00CB6E1B"/>
    <w:rsid w:val="00CB70B6"/>
    <w:rsid w:val="00CC0235"/>
    <w:rsid w:val="00CC03BF"/>
    <w:rsid w:val="00CC0A1F"/>
    <w:rsid w:val="00CC0CAA"/>
    <w:rsid w:val="00CC0F09"/>
    <w:rsid w:val="00CC1EE4"/>
    <w:rsid w:val="00CC2306"/>
    <w:rsid w:val="00CC2752"/>
    <w:rsid w:val="00CC2A9B"/>
    <w:rsid w:val="00CC39B9"/>
    <w:rsid w:val="00CC4458"/>
    <w:rsid w:val="00CC49EF"/>
    <w:rsid w:val="00CC5A92"/>
    <w:rsid w:val="00CC75D6"/>
    <w:rsid w:val="00CC7F93"/>
    <w:rsid w:val="00CD02B4"/>
    <w:rsid w:val="00CD0CC0"/>
    <w:rsid w:val="00CD1868"/>
    <w:rsid w:val="00CD1C7B"/>
    <w:rsid w:val="00CD2B0B"/>
    <w:rsid w:val="00CD2EA2"/>
    <w:rsid w:val="00CD317F"/>
    <w:rsid w:val="00CD3D8D"/>
    <w:rsid w:val="00CD49FE"/>
    <w:rsid w:val="00CD56E2"/>
    <w:rsid w:val="00CD6047"/>
    <w:rsid w:val="00CD66F4"/>
    <w:rsid w:val="00CD6D13"/>
    <w:rsid w:val="00CD77FD"/>
    <w:rsid w:val="00CE0531"/>
    <w:rsid w:val="00CE0985"/>
    <w:rsid w:val="00CE0EB4"/>
    <w:rsid w:val="00CE1717"/>
    <w:rsid w:val="00CE1AE9"/>
    <w:rsid w:val="00CE3696"/>
    <w:rsid w:val="00CE5540"/>
    <w:rsid w:val="00CE6C95"/>
    <w:rsid w:val="00CE6F0C"/>
    <w:rsid w:val="00CE766F"/>
    <w:rsid w:val="00CF0DA9"/>
    <w:rsid w:val="00CF2221"/>
    <w:rsid w:val="00CF3710"/>
    <w:rsid w:val="00CF4078"/>
    <w:rsid w:val="00CF4CE4"/>
    <w:rsid w:val="00CF4E2B"/>
    <w:rsid w:val="00CF5525"/>
    <w:rsid w:val="00CF5DE7"/>
    <w:rsid w:val="00D00344"/>
    <w:rsid w:val="00D01712"/>
    <w:rsid w:val="00D01DEF"/>
    <w:rsid w:val="00D066FD"/>
    <w:rsid w:val="00D07150"/>
    <w:rsid w:val="00D07EAE"/>
    <w:rsid w:val="00D10916"/>
    <w:rsid w:val="00D1114F"/>
    <w:rsid w:val="00D11588"/>
    <w:rsid w:val="00D11ED5"/>
    <w:rsid w:val="00D121ED"/>
    <w:rsid w:val="00D123E1"/>
    <w:rsid w:val="00D1253A"/>
    <w:rsid w:val="00D12853"/>
    <w:rsid w:val="00D1338F"/>
    <w:rsid w:val="00D13C55"/>
    <w:rsid w:val="00D13D4E"/>
    <w:rsid w:val="00D13F26"/>
    <w:rsid w:val="00D1406B"/>
    <w:rsid w:val="00D148EF"/>
    <w:rsid w:val="00D15A5F"/>
    <w:rsid w:val="00D1644A"/>
    <w:rsid w:val="00D16D4C"/>
    <w:rsid w:val="00D17192"/>
    <w:rsid w:val="00D17921"/>
    <w:rsid w:val="00D17A6D"/>
    <w:rsid w:val="00D2064C"/>
    <w:rsid w:val="00D2227F"/>
    <w:rsid w:val="00D240EB"/>
    <w:rsid w:val="00D256E4"/>
    <w:rsid w:val="00D25A1C"/>
    <w:rsid w:val="00D26302"/>
    <w:rsid w:val="00D3156B"/>
    <w:rsid w:val="00D315A4"/>
    <w:rsid w:val="00D33BAD"/>
    <w:rsid w:val="00D3415E"/>
    <w:rsid w:val="00D34837"/>
    <w:rsid w:val="00D34A88"/>
    <w:rsid w:val="00D34DF2"/>
    <w:rsid w:val="00D352AC"/>
    <w:rsid w:val="00D36033"/>
    <w:rsid w:val="00D362E9"/>
    <w:rsid w:val="00D37071"/>
    <w:rsid w:val="00D374BE"/>
    <w:rsid w:val="00D37A52"/>
    <w:rsid w:val="00D37F03"/>
    <w:rsid w:val="00D40967"/>
    <w:rsid w:val="00D4340A"/>
    <w:rsid w:val="00D435F2"/>
    <w:rsid w:val="00D44D7D"/>
    <w:rsid w:val="00D51E0D"/>
    <w:rsid w:val="00D52353"/>
    <w:rsid w:val="00D523A6"/>
    <w:rsid w:val="00D52B14"/>
    <w:rsid w:val="00D5326C"/>
    <w:rsid w:val="00D53682"/>
    <w:rsid w:val="00D53D93"/>
    <w:rsid w:val="00D54101"/>
    <w:rsid w:val="00D550F9"/>
    <w:rsid w:val="00D56389"/>
    <w:rsid w:val="00D566DF"/>
    <w:rsid w:val="00D571D3"/>
    <w:rsid w:val="00D57799"/>
    <w:rsid w:val="00D57A74"/>
    <w:rsid w:val="00D6064D"/>
    <w:rsid w:val="00D6071A"/>
    <w:rsid w:val="00D61E15"/>
    <w:rsid w:val="00D61E44"/>
    <w:rsid w:val="00D62185"/>
    <w:rsid w:val="00D62EBB"/>
    <w:rsid w:val="00D63097"/>
    <w:rsid w:val="00D657F0"/>
    <w:rsid w:val="00D67D42"/>
    <w:rsid w:val="00D70EB1"/>
    <w:rsid w:val="00D7149E"/>
    <w:rsid w:val="00D7247E"/>
    <w:rsid w:val="00D72836"/>
    <w:rsid w:val="00D72A3B"/>
    <w:rsid w:val="00D73645"/>
    <w:rsid w:val="00D7370C"/>
    <w:rsid w:val="00D74BC9"/>
    <w:rsid w:val="00D74EBB"/>
    <w:rsid w:val="00D7667F"/>
    <w:rsid w:val="00D7675D"/>
    <w:rsid w:val="00D76770"/>
    <w:rsid w:val="00D770CE"/>
    <w:rsid w:val="00D80077"/>
    <w:rsid w:val="00D8054A"/>
    <w:rsid w:val="00D80B84"/>
    <w:rsid w:val="00D81A07"/>
    <w:rsid w:val="00D81FDE"/>
    <w:rsid w:val="00D83E73"/>
    <w:rsid w:val="00D840BC"/>
    <w:rsid w:val="00D84A38"/>
    <w:rsid w:val="00D84E17"/>
    <w:rsid w:val="00D85614"/>
    <w:rsid w:val="00D90574"/>
    <w:rsid w:val="00D90AF9"/>
    <w:rsid w:val="00D90CB6"/>
    <w:rsid w:val="00D92295"/>
    <w:rsid w:val="00D928E3"/>
    <w:rsid w:val="00D937C2"/>
    <w:rsid w:val="00D93C87"/>
    <w:rsid w:val="00D945A3"/>
    <w:rsid w:val="00D94656"/>
    <w:rsid w:val="00D969A4"/>
    <w:rsid w:val="00D96BC8"/>
    <w:rsid w:val="00D973C8"/>
    <w:rsid w:val="00D974E2"/>
    <w:rsid w:val="00D97F6C"/>
    <w:rsid w:val="00DA03D9"/>
    <w:rsid w:val="00DA1020"/>
    <w:rsid w:val="00DA1370"/>
    <w:rsid w:val="00DA20D5"/>
    <w:rsid w:val="00DA229A"/>
    <w:rsid w:val="00DA3F56"/>
    <w:rsid w:val="00DA4DF5"/>
    <w:rsid w:val="00DA5080"/>
    <w:rsid w:val="00DA6328"/>
    <w:rsid w:val="00DA6BFA"/>
    <w:rsid w:val="00DA76E2"/>
    <w:rsid w:val="00DB0B82"/>
    <w:rsid w:val="00DB1883"/>
    <w:rsid w:val="00DB22DF"/>
    <w:rsid w:val="00DB52DF"/>
    <w:rsid w:val="00DB7512"/>
    <w:rsid w:val="00DB77A9"/>
    <w:rsid w:val="00DB7D0D"/>
    <w:rsid w:val="00DC03BA"/>
    <w:rsid w:val="00DC05B4"/>
    <w:rsid w:val="00DC09CA"/>
    <w:rsid w:val="00DC10BC"/>
    <w:rsid w:val="00DC1D0F"/>
    <w:rsid w:val="00DC238F"/>
    <w:rsid w:val="00DC2F75"/>
    <w:rsid w:val="00DC3819"/>
    <w:rsid w:val="00DC444C"/>
    <w:rsid w:val="00DC4A32"/>
    <w:rsid w:val="00DC5F17"/>
    <w:rsid w:val="00DC6582"/>
    <w:rsid w:val="00DC7C3B"/>
    <w:rsid w:val="00DD0689"/>
    <w:rsid w:val="00DD1309"/>
    <w:rsid w:val="00DD1BE6"/>
    <w:rsid w:val="00DD270E"/>
    <w:rsid w:val="00DD2909"/>
    <w:rsid w:val="00DD2A60"/>
    <w:rsid w:val="00DD3258"/>
    <w:rsid w:val="00DD3A64"/>
    <w:rsid w:val="00DD4CE4"/>
    <w:rsid w:val="00DD5F71"/>
    <w:rsid w:val="00DD731D"/>
    <w:rsid w:val="00DD7602"/>
    <w:rsid w:val="00DD7CBE"/>
    <w:rsid w:val="00DE0A8A"/>
    <w:rsid w:val="00DE12FE"/>
    <w:rsid w:val="00DE1DD1"/>
    <w:rsid w:val="00DE327F"/>
    <w:rsid w:val="00DE4518"/>
    <w:rsid w:val="00DE5F98"/>
    <w:rsid w:val="00DE793F"/>
    <w:rsid w:val="00DF2496"/>
    <w:rsid w:val="00DF2ABB"/>
    <w:rsid w:val="00DF2AC1"/>
    <w:rsid w:val="00DF2B0B"/>
    <w:rsid w:val="00DF33DE"/>
    <w:rsid w:val="00DF3B26"/>
    <w:rsid w:val="00DF4E4D"/>
    <w:rsid w:val="00DF5BF8"/>
    <w:rsid w:val="00DF6070"/>
    <w:rsid w:val="00DF643F"/>
    <w:rsid w:val="00DF6834"/>
    <w:rsid w:val="00DF7D68"/>
    <w:rsid w:val="00E00151"/>
    <w:rsid w:val="00E0161C"/>
    <w:rsid w:val="00E01A48"/>
    <w:rsid w:val="00E01B4C"/>
    <w:rsid w:val="00E01CA4"/>
    <w:rsid w:val="00E01D53"/>
    <w:rsid w:val="00E03527"/>
    <w:rsid w:val="00E037D9"/>
    <w:rsid w:val="00E03FF4"/>
    <w:rsid w:val="00E044A3"/>
    <w:rsid w:val="00E056E8"/>
    <w:rsid w:val="00E05A0B"/>
    <w:rsid w:val="00E05BFD"/>
    <w:rsid w:val="00E06A33"/>
    <w:rsid w:val="00E06C4C"/>
    <w:rsid w:val="00E07E60"/>
    <w:rsid w:val="00E10665"/>
    <w:rsid w:val="00E129FB"/>
    <w:rsid w:val="00E12FB7"/>
    <w:rsid w:val="00E13BB7"/>
    <w:rsid w:val="00E14AE0"/>
    <w:rsid w:val="00E15023"/>
    <w:rsid w:val="00E1655C"/>
    <w:rsid w:val="00E16787"/>
    <w:rsid w:val="00E168DE"/>
    <w:rsid w:val="00E16A47"/>
    <w:rsid w:val="00E16FC8"/>
    <w:rsid w:val="00E178BE"/>
    <w:rsid w:val="00E213AB"/>
    <w:rsid w:val="00E214F9"/>
    <w:rsid w:val="00E21D3F"/>
    <w:rsid w:val="00E23120"/>
    <w:rsid w:val="00E240B2"/>
    <w:rsid w:val="00E2583D"/>
    <w:rsid w:val="00E25DB6"/>
    <w:rsid w:val="00E26AA3"/>
    <w:rsid w:val="00E2759E"/>
    <w:rsid w:val="00E27BF6"/>
    <w:rsid w:val="00E3000B"/>
    <w:rsid w:val="00E31A84"/>
    <w:rsid w:val="00E3293F"/>
    <w:rsid w:val="00E330BE"/>
    <w:rsid w:val="00E332C5"/>
    <w:rsid w:val="00E33679"/>
    <w:rsid w:val="00E36578"/>
    <w:rsid w:val="00E37579"/>
    <w:rsid w:val="00E37751"/>
    <w:rsid w:val="00E4043D"/>
    <w:rsid w:val="00E414BA"/>
    <w:rsid w:val="00E44400"/>
    <w:rsid w:val="00E44863"/>
    <w:rsid w:val="00E45EB2"/>
    <w:rsid w:val="00E4680D"/>
    <w:rsid w:val="00E476DF"/>
    <w:rsid w:val="00E50186"/>
    <w:rsid w:val="00E50C27"/>
    <w:rsid w:val="00E510CB"/>
    <w:rsid w:val="00E5205B"/>
    <w:rsid w:val="00E521CE"/>
    <w:rsid w:val="00E53435"/>
    <w:rsid w:val="00E53729"/>
    <w:rsid w:val="00E53A1E"/>
    <w:rsid w:val="00E54CF7"/>
    <w:rsid w:val="00E557A1"/>
    <w:rsid w:val="00E561A5"/>
    <w:rsid w:val="00E57335"/>
    <w:rsid w:val="00E57B14"/>
    <w:rsid w:val="00E57C87"/>
    <w:rsid w:val="00E60F27"/>
    <w:rsid w:val="00E61584"/>
    <w:rsid w:val="00E61BD3"/>
    <w:rsid w:val="00E625D2"/>
    <w:rsid w:val="00E6270B"/>
    <w:rsid w:val="00E64A6B"/>
    <w:rsid w:val="00E64DD3"/>
    <w:rsid w:val="00E652F4"/>
    <w:rsid w:val="00E66248"/>
    <w:rsid w:val="00E66988"/>
    <w:rsid w:val="00E66F87"/>
    <w:rsid w:val="00E67C7E"/>
    <w:rsid w:val="00E67ECC"/>
    <w:rsid w:val="00E70475"/>
    <w:rsid w:val="00E709AF"/>
    <w:rsid w:val="00E72239"/>
    <w:rsid w:val="00E734A1"/>
    <w:rsid w:val="00E7452D"/>
    <w:rsid w:val="00E7545F"/>
    <w:rsid w:val="00E75841"/>
    <w:rsid w:val="00E75C2F"/>
    <w:rsid w:val="00E75E08"/>
    <w:rsid w:val="00E771CA"/>
    <w:rsid w:val="00E80A63"/>
    <w:rsid w:val="00E80D26"/>
    <w:rsid w:val="00E80EC2"/>
    <w:rsid w:val="00E8153F"/>
    <w:rsid w:val="00E816A7"/>
    <w:rsid w:val="00E81B6B"/>
    <w:rsid w:val="00E81CB4"/>
    <w:rsid w:val="00E823F1"/>
    <w:rsid w:val="00E83E31"/>
    <w:rsid w:val="00E83E93"/>
    <w:rsid w:val="00E841CE"/>
    <w:rsid w:val="00E848A6"/>
    <w:rsid w:val="00E85F37"/>
    <w:rsid w:val="00E863CB"/>
    <w:rsid w:val="00E86AEF"/>
    <w:rsid w:val="00E87408"/>
    <w:rsid w:val="00E8779F"/>
    <w:rsid w:val="00E90405"/>
    <w:rsid w:val="00E905C2"/>
    <w:rsid w:val="00E92CA9"/>
    <w:rsid w:val="00E931F9"/>
    <w:rsid w:val="00E940E9"/>
    <w:rsid w:val="00E96560"/>
    <w:rsid w:val="00E97DE5"/>
    <w:rsid w:val="00E97F56"/>
    <w:rsid w:val="00EA2D21"/>
    <w:rsid w:val="00EA4223"/>
    <w:rsid w:val="00EA43B3"/>
    <w:rsid w:val="00EA5342"/>
    <w:rsid w:val="00EA6AFB"/>
    <w:rsid w:val="00EA6DD5"/>
    <w:rsid w:val="00EA750F"/>
    <w:rsid w:val="00EB02C2"/>
    <w:rsid w:val="00EB12CF"/>
    <w:rsid w:val="00EB1683"/>
    <w:rsid w:val="00EB16AC"/>
    <w:rsid w:val="00EB2032"/>
    <w:rsid w:val="00EB3E27"/>
    <w:rsid w:val="00EB3EAF"/>
    <w:rsid w:val="00EB5A27"/>
    <w:rsid w:val="00EB6144"/>
    <w:rsid w:val="00EB6262"/>
    <w:rsid w:val="00EB649B"/>
    <w:rsid w:val="00EB7700"/>
    <w:rsid w:val="00EB7E59"/>
    <w:rsid w:val="00EC0F26"/>
    <w:rsid w:val="00EC1AFC"/>
    <w:rsid w:val="00EC2CB7"/>
    <w:rsid w:val="00EC4DBE"/>
    <w:rsid w:val="00EC676A"/>
    <w:rsid w:val="00EC74C0"/>
    <w:rsid w:val="00ED07A2"/>
    <w:rsid w:val="00ED2478"/>
    <w:rsid w:val="00ED2575"/>
    <w:rsid w:val="00ED2DE4"/>
    <w:rsid w:val="00ED37E9"/>
    <w:rsid w:val="00ED3A6E"/>
    <w:rsid w:val="00ED59D2"/>
    <w:rsid w:val="00ED71A8"/>
    <w:rsid w:val="00ED7567"/>
    <w:rsid w:val="00ED76C2"/>
    <w:rsid w:val="00ED7E15"/>
    <w:rsid w:val="00ED7F70"/>
    <w:rsid w:val="00EE1615"/>
    <w:rsid w:val="00EE1DDF"/>
    <w:rsid w:val="00EE4530"/>
    <w:rsid w:val="00EE4F00"/>
    <w:rsid w:val="00EE5EC9"/>
    <w:rsid w:val="00EE75F3"/>
    <w:rsid w:val="00EE7A58"/>
    <w:rsid w:val="00EF09AF"/>
    <w:rsid w:val="00EF1E81"/>
    <w:rsid w:val="00EF4957"/>
    <w:rsid w:val="00EF4B14"/>
    <w:rsid w:val="00EF59EC"/>
    <w:rsid w:val="00EF5DBD"/>
    <w:rsid w:val="00EF5FF4"/>
    <w:rsid w:val="00EF66F2"/>
    <w:rsid w:val="00EF7D06"/>
    <w:rsid w:val="00F005A1"/>
    <w:rsid w:val="00F00718"/>
    <w:rsid w:val="00F00D3C"/>
    <w:rsid w:val="00F00F5D"/>
    <w:rsid w:val="00F00FF2"/>
    <w:rsid w:val="00F01270"/>
    <w:rsid w:val="00F019B1"/>
    <w:rsid w:val="00F01E17"/>
    <w:rsid w:val="00F02B17"/>
    <w:rsid w:val="00F04C86"/>
    <w:rsid w:val="00F050D8"/>
    <w:rsid w:val="00F060ED"/>
    <w:rsid w:val="00F06E3F"/>
    <w:rsid w:val="00F11B9B"/>
    <w:rsid w:val="00F11BFA"/>
    <w:rsid w:val="00F140C5"/>
    <w:rsid w:val="00F16501"/>
    <w:rsid w:val="00F16B51"/>
    <w:rsid w:val="00F174CE"/>
    <w:rsid w:val="00F21413"/>
    <w:rsid w:val="00F21700"/>
    <w:rsid w:val="00F2203C"/>
    <w:rsid w:val="00F2243C"/>
    <w:rsid w:val="00F22B41"/>
    <w:rsid w:val="00F22CD8"/>
    <w:rsid w:val="00F2359E"/>
    <w:rsid w:val="00F24205"/>
    <w:rsid w:val="00F26608"/>
    <w:rsid w:val="00F266FE"/>
    <w:rsid w:val="00F3042F"/>
    <w:rsid w:val="00F30759"/>
    <w:rsid w:val="00F30EC5"/>
    <w:rsid w:val="00F31705"/>
    <w:rsid w:val="00F318A0"/>
    <w:rsid w:val="00F3201F"/>
    <w:rsid w:val="00F33D3F"/>
    <w:rsid w:val="00F35585"/>
    <w:rsid w:val="00F35677"/>
    <w:rsid w:val="00F35EC0"/>
    <w:rsid w:val="00F363A3"/>
    <w:rsid w:val="00F37131"/>
    <w:rsid w:val="00F375FE"/>
    <w:rsid w:val="00F40A3D"/>
    <w:rsid w:val="00F41962"/>
    <w:rsid w:val="00F42295"/>
    <w:rsid w:val="00F4313E"/>
    <w:rsid w:val="00F44338"/>
    <w:rsid w:val="00F44BA9"/>
    <w:rsid w:val="00F4517A"/>
    <w:rsid w:val="00F46273"/>
    <w:rsid w:val="00F46B86"/>
    <w:rsid w:val="00F46E55"/>
    <w:rsid w:val="00F472AE"/>
    <w:rsid w:val="00F508DA"/>
    <w:rsid w:val="00F51C7C"/>
    <w:rsid w:val="00F523ED"/>
    <w:rsid w:val="00F530BC"/>
    <w:rsid w:val="00F542DC"/>
    <w:rsid w:val="00F54FB5"/>
    <w:rsid w:val="00F5554C"/>
    <w:rsid w:val="00F556FC"/>
    <w:rsid w:val="00F55B8B"/>
    <w:rsid w:val="00F611BE"/>
    <w:rsid w:val="00F62412"/>
    <w:rsid w:val="00F62695"/>
    <w:rsid w:val="00F649BC"/>
    <w:rsid w:val="00F65FB5"/>
    <w:rsid w:val="00F67001"/>
    <w:rsid w:val="00F67F4E"/>
    <w:rsid w:val="00F703CF"/>
    <w:rsid w:val="00F703E2"/>
    <w:rsid w:val="00F7049A"/>
    <w:rsid w:val="00F70C3C"/>
    <w:rsid w:val="00F718F6"/>
    <w:rsid w:val="00F71AAD"/>
    <w:rsid w:val="00F7553D"/>
    <w:rsid w:val="00F76924"/>
    <w:rsid w:val="00F776B6"/>
    <w:rsid w:val="00F77ECD"/>
    <w:rsid w:val="00F80119"/>
    <w:rsid w:val="00F82F06"/>
    <w:rsid w:val="00F843E4"/>
    <w:rsid w:val="00F846FF"/>
    <w:rsid w:val="00F847B2"/>
    <w:rsid w:val="00F84CE8"/>
    <w:rsid w:val="00F869DF"/>
    <w:rsid w:val="00F86B76"/>
    <w:rsid w:val="00F90803"/>
    <w:rsid w:val="00F91A3D"/>
    <w:rsid w:val="00F926AA"/>
    <w:rsid w:val="00F92A0A"/>
    <w:rsid w:val="00F935D8"/>
    <w:rsid w:val="00F93C72"/>
    <w:rsid w:val="00F93FD8"/>
    <w:rsid w:val="00F94456"/>
    <w:rsid w:val="00F94E2D"/>
    <w:rsid w:val="00F95A2E"/>
    <w:rsid w:val="00F9770B"/>
    <w:rsid w:val="00FA081D"/>
    <w:rsid w:val="00FA168F"/>
    <w:rsid w:val="00FA1F63"/>
    <w:rsid w:val="00FA2362"/>
    <w:rsid w:val="00FA248F"/>
    <w:rsid w:val="00FA322C"/>
    <w:rsid w:val="00FA587E"/>
    <w:rsid w:val="00FA799D"/>
    <w:rsid w:val="00FA7BA4"/>
    <w:rsid w:val="00FB1192"/>
    <w:rsid w:val="00FB24B8"/>
    <w:rsid w:val="00FB25C0"/>
    <w:rsid w:val="00FB27F7"/>
    <w:rsid w:val="00FB3349"/>
    <w:rsid w:val="00FB411B"/>
    <w:rsid w:val="00FB582B"/>
    <w:rsid w:val="00FB75D7"/>
    <w:rsid w:val="00FC00A6"/>
    <w:rsid w:val="00FC1EE3"/>
    <w:rsid w:val="00FC2775"/>
    <w:rsid w:val="00FC2BD1"/>
    <w:rsid w:val="00FC328A"/>
    <w:rsid w:val="00FC33A0"/>
    <w:rsid w:val="00FC347F"/>
    <w:rsid w:val="00FC41AB"/>
    <w:rsid w:val="00FC4736"/>
    <w:rsid w:val="00FC52B5"/>
    <w:rsid w:val="00FC5579"/>
    <w:rsid w:val="00FC67AC"/>
    <w:rsid w:val="00FC7057"/>
    <w:rsid w:val="00FC717F"/>
    <w:rsid w:val="00FC71A1"/>
    <w:rsid w:val="00FC7507"/>
    <w:rsid w:val="00FC78C1"/>
    <w:rsid w:val="00FD059A"/>
    <w:rsid w:val="00FD15A9"/>
    <w:rsid w:val="00FD1CD2"/>
    <w:rsid w:val="00FD25C4"/>
    <w:rsid w:val="00FD2E28"/>
    <w:rsid w:val="00FD3E9A"/>
    <w:rsid w:val="00FD4475"/>
    <w:rsid w:val="00FD467A"/>
    <w:rsid w:val="00FD585C"/>
    <w:rsid w:val="00FD7083"/>
    <w:rsid w:val="00FD7FE0"/>
    <w:rsid w:val="00FE3ECD"/>
    <w:rsid w:val="00FE62C9"/>
    <w:rsid w:val="00FE65EF"/>
    <w:rsid w:val="00FE6D28"/>
    <w:rsid w:val="00FF03F5"/>
    <w:rsid w:val="00FF2A5B"/>
    <w:rsid w:val="00FF5237"/>
    <w:rsid w:val="00FF5694"/>
    <w:rsid w:val="00FF580B"/>
    <w:rsid w:val="00FF5C64"/>
    <w:rsid w:val="00FF607B"/>
    <w:rsid w:val="02032028"/>
    <w:rsid w:val="057B113B"/>
    <w:rsid w:val="05D84E57"/>
    <w:rsid w:val="06AD298D"/>
    <w:rsid w:val="071874D5"/>
    <w:rsid w:val="08854868"/>
    <w:rsid w:val="08A25B06"/>
    <w:rsid w:val="09A405FC"/>
    <w:rsid w:val="0A4C4059"/>
    <w:rsid w:val="0A560A40"/>
    <w:rsid w:val="0AA21756"/>
    <w:rsid w:val="0B6839C3"/>
    <w:rsid w:val="0BA1579A"/>
    <w:rsid w:val="0D461432"/>
    <w:rsid w:val="0D562B05"/>
    <w:rsid w:val="0DE10621"/>
    <w:rsid w:val="10101691"/>
    <w:rsid w:val="10736106"/>
    <w:rsid w:val="108F19B4"/>
    <w:rsid w:val="10FD28AB"/>
    <w:rsid w:val="11894686"/>
    <w:rsid w:val="11AD07BB"/>
    <w:rsid w:val="138228A6"/>
    <w:rsid w:val="14C12F5A"/>
    <w:rsid w:val="14E00F81"/>
    <w:rsid w:val="17BE00F4"/>
    <w:rsid w:val="1875756F"/>
    <w:rsid w:val="18A84643"/>
    <w:rsid w:val="190A1529"/>
    <w:rsid w:val="199D21E8"/>
    <w:rsid w:val="19BE215E"/>
    <w:rsid w:val="1AE6371B"/>
    <w:rsid w:val="1AF84ACE"/>
    <w:rsid w:val="1B6D2BA5"/>
    <w:rsid w:val="1BC82E20"/>
    <w:rsid w:val="1C870659"/>
    <w:rsid w:val="1CB82E95"/>
    <w:rsid w:val="1D0E51AB"/>
    <w:rsid w:val="1E827A4A"/>
    <w:rsid w:val="1F7D2FE0"/>
    <w:rsid w:val="1FB913FE"/>
    <w:rsid w:val="1FE87F35"/>
    <w:rsid w:val="212F17EB"/>
    <w:rsid w:val="220A3351"/>
    <w:rsid w:val="231177A3"/>
    <w:rsid w:val="23263887"/>
    <w:rsid w:val="2351194D"/>
    <w:rsid w:val="237B69CA"/>
    <w:rsid w:val="238922A8"/>
    <w:rsid w:val="249E52EA"/>
    <w:rsid w:val="24DD4BFA"/>
    <w:rsid w:val="24F86524"/>
    <w:rsid w:val="25495A29"/>
    <w:rsid w:val="25AD3D99"/>
    <w:rsid w:val="261D7F4A"/>
    <w:rsid w:val="262E050D"/>
    <w:rsid w:val="26345C82"/>
    <w:rsid w:val="26920BFA"/>
    <w:rsid w:val="26C30DB4"/>
    <w:rsid w:val="274C06EF"/>
    <w:rsid w:val="27876855"/>
    <w:rsid w:val="281A3F89"/>
    <w:rsid w:val="28277A3C"/>
    <w:rsid w:val="28293ED1"/>
    <w:rsid w:val="29CE5AA6"/>
    <w:rsid w:val="2A3F0751"/>
    <w:rsid w:val="2A57481B"/>
    <w:rsid w:val="2B21239C"/>
    <w:rsid w:val="2C332538"/>
    <w:rsid w:val="2C370EC9"/>
    <w:rsid w:val="2D800FB2"/>
    <w:rsid w:val="2DDF4D1A"/>
    <w:rsid w:val="2E0853B5"/>
    <w:rsid w:val="2E9657E0"/>
    <w:rsid w:val="2F1F6DA3"/>
    <w:rsid w:val="2F384E37"/>
    <w:rsid w:val="2F574470"/>
    <w:rsid w:val="30172037"/>
    <w:rsid w:val="304A7E50"/>
    <w:rsid w:val="306F1D95"/>
    <w:rsid w:val="307B44AD"/>
    <w:rsid w:val="30A8732B"/>
    <w:rsid w:val="31CD33E1"/>
    <w:rsid w:val="31FA27E4"/>
    <w:rsid w:val="34465891"/>
    <w:rsid w:val="34C41B45"/>
    <w:rsid w:val="359A3628"/>
    <w:rsid w:val="361200A5"/>
    <w:rsid w:val="36C06A28"/>
    <w:rsid w:val="36C6273A"/>
    <w:rsid w:val="37DAB49E"/>
    <w:rsid w:val="382D2531"/>
    <w:rsid w:val="38526F5E"/>
    <w:rsid w:val="38875FEF"/>
    <w:rsid w:val="398B3BAE"/>
    <w:rsid w:val="39F41558"/>
    <w:rsid w:val="3AFB3BCC"/>
    <w:rsid w:val="3B000526"/>
    <w:rsid w:val="3BE13D5E"/>
    <w:rsid w:val="3C950F0C"/>
    <w:rsid w:val="3D0A4754"/>
    <w:rsid w:val="3D885669"/>
    <w:rsid w:val="3E4323BB"/>
    <w:rsid w:val="3F03770D"/>
    <w:rsid w:val="3FEE25A6"/>
    <w:rsid w:val="43C53F65"/>
    <w:rsid w:val="442C748A"/>
    <w:rsid w:val="45A30D90"/>
    <w:rsid w:val="45DB537A"/>
    <w:rsid w:val="461B420C"/>
    <w:rsid w:val="4665439A"/>
    <w:rsid w:val="47503210"/>
    <w:rsid w:val="47592028"/>
    <w:rsid w:val="481E2B0B"/>
    <w:rsid w:val="48FB4AB8"/>
    <w:rsid w:val="49A976E3"/>
    <w:rsid w:val="4A5D4F4C"/>
    <w:rsid w:val="4A985F30"/>
    <w:rsid w:val="4B4838B8"/>
    <w:rsid w:val="4B533CFB"/>
    <w:rsid w:val="4B7C7600"/>
    <w:rsid w:val="4B8E2E8F"/>
    <w:rsid w:val="4BDD1C4B"/>
    <w:rsid w:val="4C0F574A"/>
    <w:rsid w:val="4D827BDC"/>
    <w:rsid w:val="4D84390E"/>
    <w:rsid w:val="4D951DA7"/>
    <w:rsid w:val="4DA6390E"/>
    <w:rsid w:val="4EBC3445"/>
    <w:rsid w:val="4F6F5A10"/>
    <w:rsid w:val="4F852EDA"/>
    <w:rsid w:val="506E59F7"/>
    <w:rsid w:val="50BB4726"/>
    <w:rsid w:val="51713037"/>
    <w:rsid w:val="521A1920"/>
    <w:rsid w:val="525C69C8"/>
    <w:rsid w:val="5276151E"/>
    <w:rsid w:val="52B4142D"/>
    <w:rsid w:val="532A7941"/>
    <w:rsid w:val="53C83AFA"/>
    <w:rsid w:val="540B0A41"/>
    <w:rsid w:val="54A55E9C"/>
    <w:rsid w:val="55EA7473"/>
    <w:rsid w:val="56BB318B"/>
    <w:rsid w:val="574F154F"/>
    <w:rsid w:val="57ED5266"/>
    <w:rsid w:val="583B614D"/>
    <w:rsid w:val="58D640C3"/>
    <w:rsid w:val="59263A57"/>
    <w:rsid w:val="5AC51B1E"/>
    <w:rsid w:val="5BFD07BD"/>
    <w:rsid w:val="5C197763"/>
    <w:rsid w:val="5D633726"/>
    <w:rsid w:val="5DED3C84"/>
    <w:rsid w:val="5F53277E"/>
    <w:rsid w:val="5F825AF2"/>
    <w:rsid w:val="5FFACECE"/>
    <w:rsid w:val="603424A5"/>
    <w:rsid w:val="615933FE"/>
    <w:rsid w:val="62080C0E"/>
    <w:rsid w:val="62FC4B55"/>
    <w:rsid w:val="63051B3D"/>
    <w:rsid w:val="632717A7"/>
    <w:rsid w:val="642F3009"/>
    <w:rsid w:val="64AA4463"/>
    <w:rsid w:val="64C14516"/>
    <w:rsid w:val="64C9644F"/>
    <w:rsid w:val="65975620"/>
    <w:rsid w:val="6871033D"/>
    <w:rsid w:val="6AB57FE0"/>
    <w:rsid w:val="6AF6662F"/>
    <w:rsid w:val="6B4F5D3F"/>
    <w:rsid w:val="6CDA65D6"/>
    <w:rsid w:val="6D844102"/>
    <w:rsid w:val="6DBF6B5B"/>
    <w:rsid w:val="6F21214C"/>
    <w:rsid w:val="6F7458C1"/>
    <w:rsid w:val="6FBF500E"/>
    <w:rsid w:val="70082960"/>
    <w:rsid w:val="700A6775"/>
    <w:rsid w:val="70563F7F"/>
    <w:rsid w:val="70877D29"/>
    <w:rsid w:val="71574EC5"/>
    <w:rsid w:val="71A212BE"/>
    <w:rsid w:val="732D59C5"/>
    <w:rsid w:val="73687898"/>
    <w:rsid w:val="73F84DF7"/>
    <w:rsid w:val="74EE3C3E"/>
    <w:rsid w:val="756B018E"/>
    <w:rsid w:val="75873FED"/>
    <w:rsid w:val="76167460"/>
    <w:rsid w:val="76171B4F"/>
    <w:rsid w:val="765608C9"/>
    <w:rsid w:val="76913A3E"/>
    <w:rsid w:val="76D161A2"/>
    <w:rsid w:val="76EF8266"/>
    <w:rsid w:val="77773CE5"/>
    <w:rsid w:val="785321E4"/>
    <w:rsid w:val="78BF5152"/>
    <w:rsid w:val="793547C6"/>
    <w:rsid w:val="794A5D98"/>
    <w:rsid w:val="79921595"/>
    <w:rsid w:val="7B4C229B"/>
    <w:rsid w:val="7B843571"/>
    <w:rsid w:val="7BDF773E"/>
    <w:rsid w:val="7C454D80"/>
    <w:rsid w:val="7C9573B2"/>
    <w:rsid w:val="7CBD259D"/>
    <w:rsid w:val="7D1868D9"/>
    <w:rsid w:val="7D5A1EDC"/>
    <w:rsid w:val="7EDC0431"/>
    <w:rsid w:val="7EDCE68E"/>
    <w:rsid w:val="7F136DA3"/>
    <w:rsid w:val="7F2D1F24"/>
    <w:rsid w:val="7F6F2A9A"/>
    <w:rsid w:val="7F81167D"/>
    <w:rsid w:val="7FFBAD7E"/>
    <w:rsid w:val="AD7DFD4E"/>
    <w:rsid w:val="BFFF1906"/>
    <w:rsid w:val="E5FE8412"/>
    <w:rsid w:val="FDFF6509"/>
    <w:rsid w:val="FECF6046"/>
    <w:rsid w:val="FF798A3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5"/>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qFormat="1" w:unhideWhenUsed="0" w:uiPriority="0" w:semiHidden="0"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99"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jc w:val="both"/>
    </w:pPr>
    <w:rPr>
      <w:rFonts w:ascii="Times New Roman" w:hAnsi="Times New Roman" w:eastAsia="宋体" w:cs="Times New Roman"/>
      <w:kern w:val="2"/>
      <w:sz w:val="21"/>
      <w:lang w:val="en-US" w:eastAsia="zh-CN" w:bidi="ar-SA"/>
    </w:rPr>
  </w:style>
  <w:style w:type="paragraph" w:styleId="2">
    <w:name w:val="heading 1"/>
    <w:basedOn w:val="1"/>
    <w:next w:val="1"/>
    <w:link w:val="54"/>
    <w:qFormat/>
    <w:uiPriority w:val="99"/>
    <w:pPr>
      <w:keepNext/>
      <w:keepLines/>
      <w:spacing w:before="340" w:after="330" w:line="576" w:lineRule="auto"/>
      <w:ind w:left="4395"/>
      <w:outlineLvl w:val="0"/>
    </w:pPr>
    <w:rPr>
      <w:rFonts w:eastAsia="楷体_GB2312"/>
      <w:b/>
      <w:kern w:val="44"/>
      <w:sz w:val="72"/>
    </w:rPr>
  </w:style>
  <w:style w:type="paragraph" w:styleId="3">
    <w:name w:val="heading 2"/>
    <w:basedOn w:val="1"/>
    <w:next w:val="1"/>
    <w:link w:val="55"/>
    <w:qFormat/>
    <w:uiPriority w:val="99"/>
    <w:pPr>
      <w:keepNext/>
      <w:keepLines/>
      <w:spacing w:before="20" w:after="20" w:line="500" w:lineRule="exact"/>
      <w:outlineLvl w:val="1"/>
    </w:pPr>
    <w:rPr>
      <w:rFonts w:ascii="宋体" w:hAnsi="宋体"/>
      <w:b/>
      <w:sz w:val="28"/>
    </w:rPr>
  </w:style>
  <w:style w:type="paragraph" w:styleId="4">
    <w:name w:val="heading 3"/>
    <w:basedOn w:val="1"/>
    <w:next w:val="5"/>
    <w:link w:val="56"/>
    <w:qFormat/>
    <w:uiPriority w:val="99"/>
    <w:pPr>
      <w:keepNext/>
      <w:keepLines/>
      <w:spacing w:before="260" w:after="260" w:line="400" w:lineRule="exact"/>
      <w:outlineLvl w:val="2"/>
    </w:pPr>
    <w:rPr>
      <w:rFonts w:ascii="宋体" w:hAnsi="宋体"/>
      <w:b/>
      <w:sz w:val="24"/>
    </w:rPr>
  </w:style>
  <w:style w:type="paragraph" w:styleId="6">
    <w:name w:val="heading 4"/>
    <w:basedOn w:val="1"/>
    <w:next w:val="5"/>
    <w:link w:val="58"/>
    <w:qFormat/>
    <w:uiPriority w:val="99"/>
    <w:pPr>
      <w:keepNext/>
      <w:spacing w:line="480" w:lineRule="atLeast"/>
      <w:jc w:val="left"/>
      <w:outlineLvl w:val="3"/>
    </w:pPr>
    <w:rPr>
      <w:rFonts w:ascii="宋体" w:hAnsi="宋体"/>
      <w:sz w:val="24"/>
    </w:rPr>
  </w:style>
  <w:style w:type="paragraph" w:styleId="7">
    <w:name w:val="heading 5"/>
    <w:basedOn w:val="1"/>
    <w:next w:val="1"/>
    <w:link w:val="59"/>
    <w:qFormat/>
    <w:uiPriority w:val="99"/>
    <w:pPr>
      <w:keepNext/>
      <w:ind w:right="-200" w:rightChars="-200"/>
      <w:outlineLvl w:val="4"/>
    </w:pPr>
    <w:rPr>
      <w:rFonts w:eastAsia="楷体_GB2312"/>
      <w:sz w:val="28"/>
    </w:rPr>
  </w:style>
  <w:style w:type="paragraph" w:styleId="8">
    <w:name w:val="heading 6"/>
    <w:basedOn w:val="1"/>
    <w:next w:val="1"/>
    <w:link w:val="60"/>
    <w:qFormat/>
    <w:uiPriority w:val="99"/>
    <w:pPr>
      <w:keepNext/>
      <w:ind w:right="-200" w:rightChars="-200"/>
      <w:outlineLvl w:val="5"/>
    </w:pPr>
    <w:rPr>
      <w:rFonts w:eastAsia="楷体_GB2312"/>
      <w:sz w:val="28"/>
    </w:rPr>
  </w:style>
  <w:style w:type="paragraph" w:styleId="9">
    <w:name w:val="heading 7"/>
    <w:basedOn w:val="1"/>
    <w:next w:val="1"/>
    <w:link w:val="61"/>
    <w:qFormat/>
    <w:uiPriority w:val="99"/>
    <w:pPr>
      <w:keepNext/>
      <w:ind w:right="-200" w:rightChars="-200"/>
      <w:outlineLvl w:val="6"/>
    </w:pPr>
    <w:rPr>
      <w:rFonts w:eastAsia="楷体_GB2312"/>
      <w:sz w:val="28"/>
    </w:rPr>
  </w:style>
  <w:style w:type="paragraph" w:styleId="10">
    <w:name w:val="heading 8"/>
    <w:basedOn w:val="1"/>
    <w:next w:val="1"/>
    <w:link w:val="62"/>
    <w:qFormat/>
    <w:uiPriority w:val="99"/>
    <w:pPr>
      <w:keepNext/>
      <w:ind w:right="-200" w:rightChars="-200"/>
      <w:jc w:val="center"/>
      <w:outlineLvl w:val="7"/>
    </w:pPr>
    <w:rPr>
      <w:rFonts w:eastAsia="楷体_GB2312"/>
      <w:sz w:val="28"/>
    </w:rPr>
  </w:style>
  <w:style w:type="paragraph" w:styleId="11">
    <w:name w:val="heading 9"/>
    <w:basedOn w:val="1"/>
    <w:next w:val="1"/>
    <w:link w:val="63"/>
    <w:qFormat/>
    <w:uiPriority w:val="99"/>
    <w:pPr>
      <w:keepNext/>
      <w:keepLines/>
      <w:tabs>
        <w:tab w:val="left" w:pos="1584"/>
      </w:tabs>
      <w:spacing w:before="240" w:after="64" w:line="317" w:lineRule="auto"/>
      <w:outlineLvl w:val="8"/>
    </w:pPr>
    <w:rPr>
      <w:rFonts w:ascii="Arial" w:hAnsi="Arial" w:eastAsia="黑体"/>
      <w:sz w:val="24"/>
      <w:szCs w:val="21"/>
    </w:rPr>
  </w:style>
  <w:style w:type="character" w:default="1" w:styleId="46">
    <w:name w:val="Default Paragraph Font"/>
    <w:semiHidden/>
    <w:unhideWhenUsed/>
    <w:qFormat/>
    <w:uiPriority w:val="1"/>
  </w:style>
  <w:style w:type="table" w:default="1" w:styleId="44">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5">
    <w:name w:val="Normal Indent"/>
    <w:basedOn w:val="1"/>
    <w:link w:val="57"/>
    <w:qFormat/>
    <w:uiPriority w:val="0"/>
    <w:pPr>
      <w:ind w:firstLine="420"/>
    </w:pPr>
    <w:rPr>
      <w:rFonts w:ascii="Calibri" w:hAnsi="Calibri"/>
      <w:kern w:val="0"/>
      <w:sz w:val="20"/>
    </w:rPr>
  </w:style>
  <w:style w:type="paragraph" w:styleId="12">
    <w:name w:val="toc 7"/>
    <w:basedOn w:val="1"/>
    <w:next w:val="1"/>
    <w:qFormat/>
    <w:uiPriority w:val="0"/>
    <w:pPr>
      <w:ind w:left="1260"/>
      <w:jc w:val="left"/>
    </w:pPr>
  </w:style>
  <w:style w:type="paragraph" w:styleId="13">
    <w:name w:val="caption"/>
    <w:basedOn w:val="1"/>
    <w:next w:val="1"/>
    <w:link w:val="64"/>
    <w:qFormat/>
    <w:uiPriority w:val="0"/>
    <w:rPr>
      <w:rFonts w:ascii="Arial" w:hAnsi="Arial" w:eastAsia="黑体"/>
      <w:kern w:val="0"/>
      <w:sz w:val="20"/>
    </w:rPr>
  </w:style>
  <w:style w:type="paragraph" w:styleId="14">
    <w:name w:val="Document Map"/>
    <w:basedOn w:val="1"/>
    <w:link w:val="65"/>
    <w:qFormat/>
    <w:uiPriority w:val="99"/>
    <w:pPr>
      <w:shd w:val="clear" w:color="auto" w:fill="000080"/>
    </w:pPr>
    <w:rPr>
      <w:rFonts w:ascii="Calibri" w:hAnsi="Calibri"/>
      <w:kern w:val="0"/>
      <w:sz w:val="20"/>
    </w:rPr>
  </w:style>
  <w:style w:type="paragraph" w:styleId="15">
    <w:name w:val="annotation text"/>
    <w:basedOn w:val="1"/>
    <w:link w:val="66"/>
    <w:qFormat/>
    <w:uiPriority w:val="99"/>
    <w:pPr>
      <w:jc w:val="left"/>
    </w:pPr>
    <w:rPr>
      <w:kern w:val="0"/>
      <w:sz w:val="20"/>
    </w:rPr>
  </w:style>
  <w:style w:type="paragraph" w:styleId="16">
    <w:name w:val="Body Text 3"/>
    <w:basedOn w:val="1"/>
    <w:link w:val="67"/>
    <w:qFormat/>
    <w:uiPriority w:val="0"/>
    <w:pPr>
      <w:spacing w:line="480" w:lineRule="exact"/>
    </w:pPr>
    <w:rPr>
      <w:rFonts w:ascii="宋体" w:hAnsi="宋体"/>
      <w:kern w:val="0"/>
      <w:sz w:val="24"/>
    </w:rPr>
  </w:style>
  <w:style w:type="paragraph" w:styleId="17">
    <w:name w:val="Body Text"/>
    <w:basedOn w:val="1"/>
    <w:link w:val="68"/>
    <w:unhideWhenUsed/>
    <w:qFormat/>
    <w:uiPriority w:val="0"/>
    <w:pPr>
      <w:spacing w:after="120"/>
    </w:pPr>
    <w:rPr>
      <w:kern w:val="0"/>
      <w:sz w:val="20"/>
    </w:rPr>
  </w:style>
  <w:style w:type="paragraph" w:styleId="18">
    <w:name w:val="Body Text Indent"/>
    <w:basedOn w:val="1"/>
    <w:link w:val="69"/>
    <w:qFormat/>
    <w:uiPriority w:val="0"/>
    <w:pPr>
      <w:ind w:firstLine="700" w:firstLineChars="250"/>
    </w:pPr>
    <w:rPr>
      <w:rFonts w:ascii="楷体_GB2312" w:hAnsi="宋体" w:eastAsia="楷体_GB2312"/>
      <w:kern w:val="0"/>
      <w:sz w:val="28"/>
    </w:rPr>
  </w:style>
  <w:style w:type="paragraph" w:styleId="19">
    <w:name w:val="Block Text"/>
    <w:basedOn w:val="1"/>
    <w:qFormat/>
    <w:uiPriority w:val="0"/>
    <w:pPr>
      <w:ind w:left="848" w:leftChars="404" w:right="-200" w:rightChars="-200"/>
    </w:pPr>
    <w:rPr>
      <w:rFonts w:eastAsia="楷体_GB2312"/>
      <w:b/>
      <w:sz w:val="28"/>
    </w:rPr>
  </w:style>
  <w:style w:type="paragraph" w:styleId="20">
    <w:name w:val="toc 5"/>
    <w:basedOn w:val="1"/>
    <w:next w:val="1"/>
    <w:qFormat/>
    <w:uiPriority w:val="0"/>
    <w:pPr>
      <w:ind w:left="840"/>
      <w:jc w:val="left"/>
    </w:pPr>
  </w:style>
  <w:style w:type="paragraph" w:styleId="21">
    <w:name w:val="toc 3"/>
    <w:basedOn w:val="1"/>
    <w:next w:val="1"/>
    <w:qFormat/>
    <w:uiPriority w:val="0"/>
    <w:pPr>
      <w:ind w:left="420"/>
      <w:jc w:val="left"/>
    </w:pPr>
    <w:rPr>
      <w:i/>
    </w:rPr>
  </w:style>
  <w:style w:type="paragraph" w:styleId="22">
    <w:name w:val="Plain Text"/>
    <w:basedOn w:val="1"/>
    <w:link w:val="70"/>
    <w:qFormat/>
    <w:uiPriority w:val="99"/>
    <w:rPr>
      <w:rFonts w:ascii="宋体" w:hAnsi="Courier New"/>
      <w:kern w:val="0"/>
      <w:sz w:val="20"/>
    </w:rPr>
  </w:style>
  <w:style w:type="paragraph" w:styleId="23">
    <w:name w:val="toc 8"/>
    <w:basedOn w:val="1"/>
    <w:next w:val="1"/>
    <w:qFormat/>
    <w:uiPriority w:val="0"/>
    <w:pPr>
      <w:ind w:left="1470"/>
      <w:jc w:val="left"/>
    </w:pPr>
  </w:style>
  <w:style w:type="paragraph" w:styleId="24">
    <w:name w:val="Date"/>
    <w:basedOn w:val="1"/>
    <w:next w:val="1"/>
    <w:link w:val="71"/>
    <w:qFormat/>
    <w:uiPriority w:val="99"/>
    <w:pPr>
      <w:autoSpaceDE w:val="0"/>
      <w:autoSpaceDN w:val="0"/>
      <w:adjustRightInd w:val="0"/>
      <w:spacing w:line="312" w:lineRule="atLeast"/>
      <w:textAlignment w:val="baseline"/>
    </w:pPr>
    <w:rPr>
      <w:kern w:val="0"/>
      <w:sz w:val="32"/>
    </w:rPr>
  </w:style>
  <w:style w:type="paragraph" w:styleId="25">
    <w:name w:val="Body Text Indent 2"/>
    <w:basedOn w:val="1"/>
    <w:link w:val="72"/>
    <w:qFormat/>
    <w:uiPriority w:val="0"/>
    <w:pPr>
      <w:widowControl/>
      <w:ind w:left="840" w:hanging="840"/>
    </w:pPr>
    <w:rPr>
      <w:rFonts w:ascii="楷体_GB2312" w:eastAsia="楷体_GB2312"/>
      <w:kern w:val="0"/>
      <w:sz w:val="28"/>
    </w:rPr>
  </w:style>
  <w:style w:type="paragraph" w:styleId="26">
    <w:name w:val="Balloon Text"/>
    <w:basedOn w:val="1"/>
    <w:link w:val="73"/>
    <w:qFormat/>
    <w:uiPriority w:val="99"/>
    <w:rPr>
      <w:rFonts w:ascii="Calibri" w:hAnsi="Calibri"/>
      <w:kern w:val="0"/>
      <w:sz w:val="18"/>
      <w:szCs w:val="18"/>
    </w:rPr>
  </w:style>
  <w:style w:type="paragraph" w:styleId="27">
    <w:name w:val="footer"/>
    <w:basedOn w:val="1"/>
    <w:link w:val="74"/>
    <w:qFormat/>
    <w:uiPriority w:val="99"/>
    <w:pPr>
      <w:tabs>
        <w:tab w:val="center" w:pos="4153"/>
        <w:tab w:val="right" w:pos="8306"/>
      </w:tabs>
      <w:snapToGrid w:val="0"/>
      <w:jc w:val="left"/>
    </w:pPr>
    <w:rPr>
      <w:rFonts w:ascii="Calibri" w:hAnsi="Calibri"/>
      <w:kern w:val="0"/>
      <w:sz w:val="18"/>
    </w:rPr>
  </w:style>
  <w:style w:type="paragraph" w:styleId="28">
    <w:name w:val="header"/>
    <w:basedOn w:val="1"/>
    <w:link w:val="75"/>
    <w:qFormat/>
    <w:uiPriority w:val="0"/>
    <w:pPr>
      <w:pBdr>
        <w:bottom w:val="single" w:color="auto" w:sz="6" w:space="1"/>
      </w:pBdr>
      <w:tabs>
        <w:tab w:val="center" w:pos="4153"/>
        <w:tab w:val="right" w:pos="8306"/>
      </w:tabs>
      <w:snapToGrid w:val="0"/>
      <w:jc w:val="center"/>
    </w:pPr>
    <w:rPr>
      <w:rFonts w:ascii="Calibri" w:hAnsi="Calibri"/>
      <w:kern w:val="0"/>
      <w:sz w:val="18"/>
    </w:rPr>
  </w:style>
  <w:style w:type="paragraph" w:styleId="29">
    <w:name w:val="toc 1"/>
    <w:basedOn w:val="1"/>
    <w:next w:val="1"/>
    <w:qFormat/>
    <w:uiPriority w:val="39"/>
    <w:pPr>
      <w:spacing w:before="120" w:after="120"/>
      <w:jc w:val="left"/>
    </w:pPr>
    <w:rPr>
      <w:b/>
      <w:caps/>
    </w:rPr>
  </w:style>
  <w:style w:type="paragraph" w:styleId="30">
    <w:name w:val="toc 4"/>
    <w:basedOn w:val="1"/>
    <w:next w:val="1"/>
    <w:qFormat/>
    <w:uiPriority w:val="0"/>
    <w:pPr>
      <w:ind w:left="630"/>
      <w:jc w:val="left"/>
    </w:pPr>
  </w:style>
  <w:style w:type="paragraph" w:styleId="31">
    <w:name w:val="index heading"/>
    <w:basedOn w:val="1"/>
    <w:next w:val="32"/>
    <w:qFormat/>
    <w:uiPriority w:val="0"/>
  </w:style>
  <w:style w:type="paragraph" w:styleId="32">
    <w:name w:val="index 1"/>
    <w:basedOn w:val="1"/>
    <w:next w:val="1"/>
    <w:unhideWhenUsed/>
    <w:qFormat/>
    <w:uiPriority w:val="0"/>
  </w:style>
  <w:style w:type="paragraph" w:styleId="33">
    <w:name w:val="Subtitle"/>
    <w:basedOn w:val="1"/>
    <w:next w:val="1"/>
    <w:link w:val="76"/>
    <w:qFormat/>
    <w:uiPriority w:val="0"/>
    <w:pPr>
      <w:widowControl/>
      <w:spacing w:before="240" w:after="60" w:line="312" w:lineRule="auto"/>
      <w:jc w:val="center"/>
      <w:outlineLvl w:val="1"/>
    </w:pPr>
    <w:rPr>
      <w:rFonts w:ascii="Cambria" w:hAnsi="Cambria" w:eastAsia="仿宋_GB2312"/>
      <w:b/>
      <w:bCs/>
      <w:kern w:val="28"/>
      <w:sz w:val="32"/>
      <w:szCs w:val="32"/>
    </w:rPr>
  </w:style>
  <w:style w:type="paragraph" w:styleId="34">
    <w:name w:val="toc 6"/>
    <w:basedOn w:val="1"/>
    <w:next w:val="1"/>
    <w:qFormat/>
    <w:uiPriority w:val="0"/>
    <w:pPr>
      <w:ind w:left="1050"/>
      <w:jc w:val="left"/>
    </w:pPr>
  </w:style>
  <w:style w:type="paragraph" w:styleId="35">
    <w:name w:val="Body Text Indent 3"/>
    <w:basedOn w:val="1"/>
    <w:link w:val="77"/>
    <w:qFormat/>
    <w:uiPriority w:val="0"/>
    <w:pPr>
      <w:ind w:left="1120" w:hanging="1120" w:hangingChars="400"/>
      <w:jc w:val="center"/>
    </w:pPr>
    <w:rPr>
      <w:rFonts w:eastAsia="楷体_GB2312"/>
      <w:kern w:val="0"/>
      <w:sz w:val="28"/>
    </w:rPr>
  </w:style>
  <w:style w:type="paragraph" w:styleId="36">
    <w:name w:val="toc 2"/>
    <w:basedOn w:val="1"/>
    <w:next w:val="1"/>
    <w:qFormat/>
    <w:uiPriority w:val="39"/>
    <w:pPr>
      <w:ind w:left="210"/>
      <w:jc w:val="left"/>
    </w:pPr>
    <w:rPr>
      <w:smallCaps/>
    </w:rPr>
  </w:style>
  <w:style w:type="paragraph" w:styleId="37">
    <w:name w:val="toc 9"/>
    <w:basedOn w:val="1"/>
    <w:next w:val="1"/>
    <w:qFormat/>
    <w:uiPriority w:val="0"/>
    <w:pPr>
      <w:ind w:left="1680"/>
      <w:jc w:val="left"/>
    </w:pPr>
  </w:style>
  <w:style w:type="paragraph" w:styleId="38">
    <w:name w:val="Body Text 2"/>
    <w:basedOn w:val="1"/>
    <w:link w:val="78"/>
    <w:qFormat/>
    <w:uiPriority w:val="0"/>
    <w:rPr>
      <w:rFonts w:eastAsia="楷体_GB2312"/>
      <w:kern w:val="0"/>
      <w:sz w:val="28"/>
    </w:rPr>
  </w:style>
  <w:style w:type="paragraph" w:styleId="39">
    <w:name w:val="HTML Preformatted"/>
    <w:basedOn w:val="1"/>
    <w:link w:val="7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styleId="40">
    <w:name w:val="Normal (Web)"/>
    <w:basedOn w:val="1"/>
    <w:link w:val="80"/>
    <w:qFormat/>
    <w:uiPriority w:val="0"/>
    <w:pPr>
      <w:widowControl/>
      <w:spacing w:before="100" w:beforeAutospacing="1" w:after="100" w:afterAutospacing="1" w:line="480" w:lineRule="auto"/>
      <w:ind w:firstLine="502"/>
      <w:jc w:val="left"/>
    </w:pPr>
    <w:rPr>
      <w:rFonts w:ascii="宋体" w:hAnsi="宋体"/>
      <w:kern w:val="0"/>
      <w:sz w:val="24"/>
    </w:rPr>
  </w:style>
  <w:style w:type="paragraph" w:styleId="41">
    <w:name w:val="Title"/>
    <w:basedOn w:val="1"/>
    <w:link w:val="81"/>
    <w:qFormat/>
    <w:uiPriority w:val="0"/>
    <w:pPr>
      <w:keepNext/>
      <w:keepLines/>
      <w:widowControl/>
      <w:spacing w:before="240" w:after="60" w:line="360" w:lineRule="auto"/>
      <w:jc w:val="center"/>
      <w:outlineLvl w:val="0"/>
    </w:pPr>
    <w:rPr>
      <w:rFonts w:ascii="宋体" w:hAnsi="宋体" w:eastAsia="楷体_GB2312"/>
      <w:b/>
      <w:bCs/>
      <w:spacing w:val="24"/>
      <w:kern w:val="0"/>
      <w:sz w:val="44"/>
      <w:szCs w:val="32"/>
    </w:rPr>
  </w:style>
  <w:style w:type="paragraph" w:styleId="42">
    <w:name w:val="annotation subject"/>
    <w:basedOn w:val="15"/>
    <w:next w:val="15"/>
    <w:link w:val="82"/>
    <w:qFormat/>
    <w:uiPriority w:val="99"/>
    <w:rPr>
      <w:b/>
      <w:bCs/>
    </w:rPr>
  </w:style>
  <w:style w:type="paragraph" w:styleId="43">
    <w:name w:val="Body Text First Indent"/>
    <w:basedOn w:val="17"/>
    <w:link w:val="84"/>
    <w:qFormat/>
    <w:uiPriority w:val="0"/>
    <w:pPr>
      <w:spacing w:line="240" w:lineRule="auto"/>
      <w:ind w:firstLine="420" w:firstLineChars="100"/>
    </w:pPr>
    <w:rPr>
      <w:rFonts w:ascii="楷体_GB2312" w:hAnsi="Calibri" w:eastAsia="楷体_GB2312"/>
      <w:b/>
    </w:rPr>
  </w:style>
  <w:style w:type="table" w:styleId="45">
    <w:name w:val="Table Grid"/>
    <w:basedOn w:val="44"/>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7">
    <w:name w:val="Strong"/>
    <w:qFormat/>
    <w:uiPriority w:val="22"/>
    <w:rPr>
      <w:b/>
    </w:rPr>
  </w:style>
  <w:style w:type="character" w:styleId="48">
    <w:name w:val="page number"/>
    <w:basedOn w:val="46"/>
    <w:qFormat/>
    <w:uiPriority w:val="99"/>
  </w:style>
  <w:style w:type="character" w:styleId="49">
    <w:name w:val="FollowedHyperlink"/>
    <w:qFormat/>
    <w:uiPriority w:val="99"/>
    <w:rPr>
      <w:color w:val="800080"/>
      <w:u w:val="single"/>
    </w:rPr>
  </w:style>
  <w:style w:type="character" w:styleId="50">
    <w:name w:val="Emphasis"/>
    <w:qFormat/>
    <w:uiPriority w:val="20"/>
    <w:rPr>
      <w:rFonts w:ascii="Tahoma" w:hAnsi="Tahoma" w:eastAsia="宋体"/>
      <w:b/>
      <w:snapToGrid/>
      <w:color w:val="auto"/>
      <w:kern w:val="2"/>
      <w:sz w:val="28"/>
      <w:lang w:val="en-US" w:eastAsia="zh-CN" w:bidi="ar-SA"/>
    </w:rPr>
  </w:style>
  <w:style w:type="character" w:styleId="51">
    <w:name w:val="line number"/>
    <w:basedOn w:val="46"/>
    <w:qFormat/>
    <w:uiPriority w:val="0"/>
  </w:style>
  <w:style w:type="character" w:styleId="52">
    <w:name w:val="Hyperlink"/>
    <w:qFormat/>
    <w:uiPriority w:val="99"/>
    <w:rPr>
      <w:color w:val="0000FF"/>
      <w:u w:val="single"/>
    </w:rPr>
  </w:style>
  <w:style w:type="character" w:styleId="53">
    <w:name w:val="annotation reference"/>
    <w:qFormat/>
    <w:uiPriority w:val="99"/>
    <w:rPr>
      <w:sz w:val="21"/>
    </w:rPr>
  </w:style>
  <w:style w:type="character" w:customStyle="1" w:styleId="54">
    <w:name w:val="标题 1 Char"/>
    <w:link w:val="2"/>
    <w:qFormat/>
    <w:uiPriority w:val="99"/>
    <w:rPr>
      <w:rFonts w:ascii="Times New Roman" w:hAnsi="Times New Roman" w:eastAsia="楷体_GB2312"/>
      <w:b/>
      <w:kern w:val="44"/>
      <w:sz w:val="72"/>
    </w:rPr>
  </w:style>
  <w:style w:type="character" w:customStyle="1" w:styleId="55">
    <w:name w:val="标题 2 Char"/>
    <w:link w:val="3"/>
    <w:qFormat/>
    <w:uiPriority w:val="99"/>
    <w:rPr>
      <w:rFonts w:ascii="宋体" w:hAnsi="宋体"/>
      <w:b/>
      <w:kern w:val="2"/>
      <w:sz w:val="28"/>
    </w:rPr>
  </w:style>
  <w:style w:type="character" w:customStyle="1" w:styleId="56">
    <w:name w:val="标题 3 Char"/>
    <w:link w:val="4"/>
    <w:qFormat/>
    <w:uiPriority w:val="99"/>
    <w:rPr>
      <w:rFonts w:ascii="宋体" w:hAnsi="宋体"/>
      <w:b/>
      <w:kern w:val="2"/>
      <w:sz w:val="24"/>
    </w:rPr>
  </w:style>
  <w:style w:type="character" w:customStyle="1" w:styleId="57">
    <w:name w:val="正文缩进 Char"/>
    <w:link w:val="5"/>
    <w:qFormat/>
    <w:uiPriority w:val="0"/>
    <w:rPr>
      <w:rFonts w:eastAsia="宋体"/>
    </w:rPr>
  </w:style>
  <w:style w:type="character" w:customStyle="1" w:styleId="58">
    <w:name w:val="标题 4 Char"/>
    <w:link w:val="6"/>
    <w:qFormat/>
    <w:uiPriority w:val="99"/>
    <w:rPr>
      <w:rFonts w:ascii="宋体" w:hAnsi="宋体"/>
      <w:kern w:val="2"/>
      <w:sz w:val="24"/>
    </w:rPr>
  </w:style>
  <w:style w:type="character" w:customStyle="1" w:styleId="59">
    <w:name w:val="标题 5 Char"/>
    <w:link w:val="7"/>
    <w:qFormat/>
    <w:uiPriority w:val="99"/>
    <w:rPr>
      <w:rFonts w:ascii="Times New Roman" w:hAnsi="Times New Roman" w:eastAsia="楷体_GB2312"/>
      <w:kern w:val="2"/>
      <w:sz w:val="28"/>
    </w:rPr>
  </w:style>
  <w:style w:type="character" w:customStyle="1" w:styleId="60">
    <w:name w:val="标题 6 Char"/>
    <w:link w:val="8"/>
    <w:qFormat/>
    <w:uiPriority w:val="99"/>
    <w:rPr>
      <w:rFonts w:ascii="Times New Roman" w:hAnsi="Times New Roman" w:eastAsia="楷体_GB2312"/>
      <w:kern w:val="2"/>
      <w:sz w:val="28"/>
    </w:rPr>
  </w:style>
  <w:style w:type="character" w:customStyle="1" w:styleId="61">
    <w:name w:val="标题 7 Char"/>
    <w:link w:val="9"/>
    <w:qFormat/>
    <w:uiPriority w:val="99"/>
    <w:rPr>
      <w:rFonts w:ascii="Times New Roman" w:hAnsi="Times New Roman" w:eastAsia="楷体_GB2312"/>
      <w:kern w:val="2"/>
      <w:sz w:val="28"/>
    </w:rPr>
  </w:style>
  <w:style w:type="character" w:customStyle="1" w:styleId="62">
    <w:name w:val="标题 8 Char"/>
    <w:link w:val="10"/>
    <w:qFormat/>
    <w:uiPriority w:val="99"/>
    <w:rPr>
      <w:rFonts w:ascii="Times New Roman" w:hAnsi="Times New Roman" w:eastAsia="楷体_GB2312"/>
      <w:kern w:val="2"/>
      <w:sz w:val="28"/>
    </w:rPr>
  </w:style>
  <w:style w:type="character" w:customStyle="1" w:styleId="63">
    <w:name w:val="标题 9 Char"/>
    <w:link w:val="11"/>
    <w:qFormat/>
    <w:uiPriority w:val="99"/>
    <w:rPr>
      <w:rFonts w:ascii="Arial" w:hAnsi="Arial" w:eastAsia="黑体"/>
      <w:kern w:val="2"/>
      <w:sz w:val="24"/>
      <w:szCs w:val="21"/>
    </w:rPr>
  </w:style>
  <w:style w:type="character" w:customStyle="1" w:styleId="64">
    <w:name w:val="题注 Char"/>
    <w:link w:val="13"/>
    <w:qFormat/>
    <w:uiPriority w:val="0"/>
    <w:rPr>
      <w:rFonts w:ascii="Arial" w:hAnsi="Arial" w:eastAsia="黑体" w:cs="Arial"/>
    </w:rPr>
  </w:style>
  <w:style w:type="character" w:customStyle="1" w:styleId="65">
    <w:name w:val="文档结构图 Char"/>
    <w:link w:val="14"/>
    <w:qFormat/>
    <w:uiPriority w:val="99"/>
    <w:rPr>
      <w:rFonts w:eastAsia="宋体"/>
      <w:shd w:val="clear" w:color="auto" w:fill="000080"/>
    </w:rPr>
  </w:style>
  <w:style w:type="character" w:customStyle="1" w:styleId="66">
    <w:name w:val="批注文字 Char"/>
    <w:link w:val="15"/>
    <w:qFormat/>
    <w:uiPriority w:val="99"/>
  </w:style>
  <w:style w:type="character" w:customStyle="1" w:styleId="67">
    <w:name w:val="正文文本 3 Char"/>
    <w:link w:val="16"/>
    <w:qFormat/>
    <w:uiPriority w:val="0"/>
    <w:rPr>
      <w:rFonts w:ascii="宋体" w:hAnsi="宋体"/>
      <w:sz w:val="24"/>
    </w:rPr>
  </w:style>
  <w:style w:type="character" w:customStyle="1" w:styleId="68">
    <w:name w:val="正文文本 Char1"/>
    <w:link w:val="17"/>
    <w:qFormat/>
    <w:uiPriority w:val="0"/>
    <w:rPr>
      <w:rFonts w:ascii="Times New Roman" w:hAnsi="Times New Roman" w:eastAsia="宋体" w:cs="Times New Roman"/>
      <w:szCs w:val="20"/>
    </w:rPr>
  </w:style>
  <w:style w:type="character" w:customStyle="1" w:styleId="69">
    <w:name w:val="正文文本缩进 Char"/>
    <w:link w:val="18"/>
    <w:qFormat/>
    <w:uiPriority w:val="0"/>
    <w:rPr>
      <w:rFonts w:ascii="楷体_GB2312" w:hAnsi="宋体" w:eastAsia="楷体_GB2312" w:cs="Times New Roman"/>
      <w:sz w:val="28"/>
      <w:szCs w:val="20"/>
    </w:rPr>
  </w:style>
  <w:style w:type="character" w:customStyle="1" w:styleId="70">
    <w:name w:val="纯文本 Char"/>
    <w:link w:val="22"/>
    <w:qFormat/>
    <w:uiPriority w:val="99"/>
    <w:rPr>
      <w:rFonts w:ascii="宋体" w:hAnsi="Courier New" w:eastAsia="宋体"/>
    </w:rPr>
  </w:style>
  <w:style w:type="character" w:customStyle="1" w:styleId="71">
    <w:name w:val="日期 Char"/>
    <w:link w:val="24"/>
    <w:qFormat/>
    <w:uiPriority w:val="99"/>
    <w:rPr>
      <w:rFonts w:ascii="Times New Roman" w:hAnsi="Times New Roman" w:eastAsia="宋体" w:cs="Times New Roman"/>
      <w:kern w:val="0"/>
      <w:sz w:val="32"/>
      <w:szCs w:val="20"/>
    </w:rPr>
  </w:style>
  <w:style w:type="character" w:customStyle="1" w:styleId="72">
    <w:name w:val="正文文本缩进 2 Char"/>
    <w:link w:val="25"/>
    <w:qFormat/>
    <w:uiPriority w:val="0"/>
    <w:rPr>
      <w:rFonts w:ascii="楷体_GB2312" w:hAnsi="Times New Roman" w:eastAsia="楷体_GB2312" w:cs="Times New Roman"/>
      <w:sz w:val="28"/>
      <w:szCs w:val="20"/>
    </w:rPr>
  </w:style>
  <w:style w:type="character" w:customStyle="1" w:styleId="73">
    <w:name w:val="批注框文本 Char"/>
    <w:link w:val="26"/>
    <w:qFormat/>
    <w:uiPriority w:val="99"/>
    <w:rPr>
      <w:sz w:val="18"/>
      <w:szCs w:val="18"/>
    </w:rPr>
  </w:style>
  <w:style w:type="character" w:customStyle="1" w:styleId="74">
    <w:name w:val="页脚 Char"/>
    <w:link w:val="27"/>
    <w:qFormat/>
    <w:uiPriority w:val="99"/>
    <w:rPr>
      <w:sz w:val="18"/>
    </w:rPr>
  </w:style>
  <w:style w:type="character" w:customStyle="1" w:styleId="75">
    <w:name w:val="页眉 Char"/>
    <w:link w:val="28"/>
    <w:qFormat/>
    <w:uiPriority w:val="0"/>
    <w:rPr>
      <w:rFonts w:eastAsia="宋体"/>
      <w:sz w:val="18"/>
    </w:rPr>
  </w:style>
  <w:style w:type="character" w:customStyle="1" w:styleId="76">
    <w:name w:val="副标题 Char"/>
    <w:link w:val="33"/>
    <w:qFormat/>
    <w:uiPriority w:val="0"/>
    <w:rPr>
      <w:rFonts w:ascii="Cambria" w:hAnsi="Cambria" w:eastAsia="仿宋_GB2312"/>
      <w:b/>
      <w:bCs/>
      <w:kern w:val="28"/>
      <w:sz w:val="32"/>
      <w:szCs w:val="32"/>
    </w:rPr>
  </w:style>
  <w:style w:type="character" w:customStyle="1" w:styleId="77">
    <w:name w:val="正文文本缩进 3 Char"/>
    <w:link w:val="35"/>
    <w:qFormat/>
    <w:uiPriority w:val="0"/>
    <w:rPr>
      <w:rFonts w:ascii="Times New Roman" w:hAnsi="Times New Roman" w:eastAsia="楷体_GB2312" w:cs="Times New Roman"/>
      <w:sz w:val="28"/>
      <w:szCs w:val="20"/>
    </w:rPr>
  </w:style>
  <w:style w:type="character" w:customStyle="1" w:styleId="78">
    <w:name w:val="正文文本 2 Char"/>
    <w:link w:val="38"/>
    <w:qFormat/>
    <w:uiPriority w:val="0"/>
    <w:rPr>
      <w:rFonts w:ascii="Times New Roman" w:hAnsi="Times New Roman" w:eastAsia="楷体_GB2312" w:cs="Times New Roman"/>
      <w:sz w:val="28"/>
      <w:szCs w:val="20"/>
    </w:rPr>
  </w:style>
  <w:style w:type="character" w:customStyle="1" w:styleId="79">
    <w:name w:val="HTML 预设格式 Char"/>
    <w:link w:val="39"/>
    <w:qFormat/>
    <w:uiPriority w:val="0"/>
    <w:rPr>
      <w:rFonts w:ascii="黑体" w:hAnsi="Courier New" w:eastAsia="黑体" w:cs="Courier New"/>
    </w:rPr>
  </w:style>
  <w:style w:type="character" w:customStyle="1" w:styleId="80">
    <w:name w:val="普通(网站) Char"/>
    <w:link w:val="40"/>
    <w:qFormat/>
    <w:uiPriority w:val="0"/>
    <w:rPr>
      <w:rFonts w:ascii="宋体" w:hAnsi="宋体"/>
      <w:sz w:val="24"/>
    </w:rPr>
  </w:style>
  <w:style w:type="character" w:customStyle="1" w:styleId="81">
    <w:name w:val="标题 Char"/>
    <w:link w:val="41"/>
    <w:qFormat/>
    <w:uiPriority w:val="0"/>
    <w:rPr>
      <w:rFonts w:ascii="宋体" w:hAnsi="宋体" w:eastAsia="楷体_GB2312"/>
      <w:b/>
      <w:bCs/>
      <w:spacing w:val="24"/>
      <w:sz w:val="44"/>
      <w:szCs w:val="32"/>
    </w:rPr>
  </w:style>
  <w:style w:type="character" w:customStyle="1" w:styleId="82">
    <w:name w:val="批注主题 Char"/>
    <w:basedOn w:val="66"/>
    <w:link w:val="42"/>
    <w:qFormat/>
    <w:uiPriority w:val="99"/>
  </w:style>
  <w:style w:type="character" w:customStyle="1" w:styleId="83">
    <w:name w:val="正文首行缩进 Char"/>
    <w:qFormat/>
    <w:uiPriority w:val="0"/>
    <w:rPr>
      <w:rFonts w:ascii="楷体_GB2312" w:eastAsia="楷体_GB2312"/>
      <w:b/>
    </w:rPr>
  </w:style>
  <w:style w:type="character" w:customStyle="1" w:styleId="84">
    <w:name w:val="正文首行缩进 Char1"/>
    <w:basedOn w:val="68"/>
    <w:link w:val="43"/>
    <w:semiHidden/>
    <w:qFormat/>
    <w:uiPriority w:val="99"/>
    <w:rPr>
      <w:rFonts w:ascii="Times New Roman" w:hAnsi="Times New Roman" w:eastAsia="宋体" w:cs="Times New Roman"/>
      <w:szCs w:val="20"/>
    </w:rPr>
  </w:style>
  <w:style w:type="character" w:customStyle="1" w:styleId="85">
    <w:name w:val="正文文本 Char"/>
    <w:qFormat/>
    <w:uiPriority w:val="0"/>
    <w:rPr>
      <w:rFonts w:ascii="楷体_GB2312" w:eastAsia="楷体_GB2312"/>
      <w:b/>
      <w:kern w:val="2"/>
      <w:sz w:val="30"/>
      <w:lang w:val="en-US" w:eastAsia="zh-CN" w:bidi="ar-SA"/>
    </w:rPr>
  </w:style>
  <w:style w:type="character" w:customStyle="1" w:styleId="86">
    <w:name w:val="newsbg"/>
    <w:basedOn w:val="46"/>
    <w:qFormat/>
    <w:uiPriority w:val="0"/>
  </w:style>
  <w:style w:type="character" w:customStyle="1" w:styleId="87">
    <w:name w:val="标题 2 Char2"/>
    <w:qFormat/>
    <w:uiPriority w:val="0"/>
    <w:rPr>
      <w:rFonts w:ascii="Arial" w:hAnsi="Arial" w:eastAsia="黑体" w:cs="Times New Roman"/>
      <w:b/>
      <w:bCs/>
      <w:sz w:val="32"/>
      <w:szCs w:val="32"/>
    </w:rPr>
  </w:style>
  <w:style w:type="character" w:customStyle="1" w:styleId="88">
    <w:name w:val="p141"/>
    <w:qFormat/>
    <w:uiPriority w:val="0"/>
    <w:rPr>
      <w:sz w:val="21"/>
      <w:szCs w:val="21"/>
    </w:rPr>
  </w:style>
  <w:style w:type="character" w:customStyle="1" w:styleId="89">
    <w:name w:val="Char Char15"/>
    <w:qFormat/>
    <w:uiPriority w:val="0"/>
    <w:rPr>
      <w:b/>
      <w:bCs/>
      <w:kern w:val="44"/>
      <w:sz w:val="44"/>
      <w:szCs w:val="44"/>
    </w:rPr>
  </w:style>
  <w:style w:type="character" w:customStyle="1" w:styleId="90">
    <w:name w:val="keyfeatures"/>
    <w:qFormat/>
    <w:uiPriority w:val="0"/>
  </w:style>
  <w:style w:type="character" w:customStyle="1" w:styleId="91">
    <w:name w:val="纯文本 Char1"/>
    <w:qFormat/>
    <w:uiPriority w:val="0"/>
    <w:rPr>
      <w:rFonts w:ascii="宋体" w:hAnsi="Courier New" w:eastAsia="宋体" w:cs="Courier New"/>
      <w:kern w:val="2"/>
      <w:sz w:val="21"/>
      <w:szCs w:val="21"/>
      <w:lang w:val="en-US" w:eastAsia="zh-CN" w:bidi="ar-SA"/>
    </w:rPr>
  </w:style>
  <w:style w:type="character" w:customStyle="1" w:styleId="92">
    <w:name w:val="无间隔 Char"/>
    <w:link w:val="93"/>
    <w:qFormat/>
    <w:uiPriority w:val="1"/>
    <w:rPr>
      <w:kern w:val="2"/>
      <w:sz w:val="22"/>
      <w:szCs w:val="22"/>
      <w:lang w:val="en-US" w:eastAsia="zh-CN" w:bidi="ar-SA"/>
    </w:rPr>
  </w:style>
  <w:style w:type="paragraph" w:styleId="93">
    <w:name w:val="No Spacing"/>
    <w:link w:val="92"/>
    <w:qFormat/>
    <w:uiPriority w:val="1"/>
    <w:pPr>
      <w:spacing w:line="276" w:lineRule="auto"/>
      <w:jc w:val="both"/>
    </w:pPr>
    <w:rPr>
      <w:rFonts w:ascii="Calibri" w:hAnsi="Calibri" w:eastAsia="宋体" w:cs="Times New Roman"/>
      <w:kern w:val="2"/>
      <w:sz w:val="22"/>
      <w:szCs w:val="22"/>
      <w:lang w:val="en-US" w:eastAsia="zh-CN" w:bidi="ar-SA"/>
    </w:rPr>
  </w:style>
  <w:style w:type="character" w:customStyle="1" w:styleId="94">
    <w:name w:val="标题1"/>
    <w:basedOn w:val="46"/>
    <w:qFormat/>
    <w:uiPriority w:val="0"/>
  </w:style>
  <w:style w:type="character" w:customStyle="1" w:styleId="95">
    <w:name w:val="正文缩进2格 Char Char"/>
    <w:link w:val="96"/>
    <w:qFormat/>
    <w:uiPriority w:val="0"/>
    <w:rPr>
      <w:rFonts w:ascii="仿宋_GB2312" w:hAnsi="宋体" w:eastAsia="仿宋_GB2312"/>
      <w:sz w:val="31"/>
      <w:szCs w:val="28"/>
    </w:rPr>
  </w:style>
  <w:style w:type="paragraph" w:customStyle="1" w:styleId="96">
    <w:name w:val="正文缩进2格"/>
    <w:basedOn w:val="1"/>
    <w:link w:val="95"/>
    <w:qFormat/>
    <w:uiPriority w:val="0"/>
    <w:pPr>
      <w:spacing w:line="600" w:lineRule="exact"/>
      <w:ind w:firstLine="639" w:firstLineChars="206"/>
    </w:pPr>
    <w:rPr>
      <w:rFonts w:ascii="仿宋_GB2312" w:hAnsi="宋体" w:eastAsia="仿宋_GB2312"/>
      <w:kern w:val="0"/>
      <w:sz w:val="31"/>
      <w:szCs w:val="28"/>
    </w:rPr>
  </w:style>
  <w:style w:type="character" w:customStyle="1" w:styleId="97">
    <w:name w:val="标题 3.1 Char Char"/>
    <w:link w:val="98"/>
    <w:qFormat/>
    <w:uiPriority w:val="0"/>
    <w:rPr>
      <w:rFonts w:ascii="宋体" w:hAnsi="宋体"/>
      <w:b/>
      <w:bCs/>
      <w:sz w:val="24"/>
      <w:szCs w:val="28"/>
    </w:rPr>
  </w:style>
  <w:style w:type="paragraph" w:customStyle="1" w:styleId="98">
    <w:name w:val="标题 3.1"/>
    <w:basedOn w:val="4"/>
    <w:link w:val="97"/>
    <w:qFormat/>
    <w:uiPriority w:val="0"/>
    <w:pPr>
      <w:tabs>
        <w:tab w:val="left" w:pos="709"/>
        <w:tab w:val="left" w:pos="1440"/>
        <w:tab w:val="left" w:pos="1620"/>
      </w:tabs>
      <w:spacing w:line="480" w:lineRule="exact"/>
    </w:pPr>
    <w:rPr>
      <w:bCs/>
      <w:kern w:val="0"/>
      <w:szCs w:val="28"/>
    </w:rPr>
  </w:style>
  <w:style w:type="character" w:customStyle="1" w:styleId="99">
    <w:name w:val="众诚小样式 Char Char"/>
    <w:link w:val="100"/>
    <w:qFormat/>
    <w:uiPriority w:val="0"/>
    <w:rPr>
      <w:rFonts w:ascii="宋体" w:hAnsi="宋体"/>
      <w:b/>
    </w:rPr>
  </w:style>
  <w:style w:type="paragraph" w:customStyle="1" w:styleId="100">
    <w:name w:val="众诚小样式"/>
    <w:basedOn w:val="101"/>
    <w:link w:val="99"/>
    <w:qFormat/>
    <w:uiPriority w:val="0"/>
    <w:pPr>
      <w:widowControl/>
      <w:spacing w:line="360" w:lineRule="auto"/>
      <w:ind w:firstLine="0" w:firstLineChars="0"/>
      <w:jc w:val="left"/>
      <w:outlineLvl w:val="3"/>
    </w:pPr>
    <w:rPr>
      <w:rFonts w:ascii="宋体" w:hAnsi="宋体"/>
      <w:b/>
    </w:rPr>
  </w:style>
  <w:style w:type="paragraph" w:styleId="101">
    <w:name w:val="List Paragraph"/>
    <w:basedOn w:val="1"/>
    <w:link w:val="102"/>
    <w:qFormat/>
    <w:uiPriority w:val="0"/>
    <w:pPr>
      <w:ind w:firstLine="420" w:firstLineChars="200"/>
    </w:pPr>
    <w:rPr>
      <w:kern w:val="0"/>
      <w:sz w:val="20"/>
    </w:rPr>
  </w:style>
  <w:style w:type="character" w:customStyle="1" w:styleId="102">
    <w:name w:val="列出段落 Char"/>
    <w:link w:val="101"/>
    <w:qFormat/>
    <w:uiPriority w:val="0"/>
    <w:rPr>
      <w:rFonts w:ascii="Times New Roman" w:hAnsi="Times New Roman" w:eastAsia="宋体" w:cs="Times New Roman"/>
      <w:szCs w:val="20"/>
    </w:rPr>
  </w:style>
  <w:style w:type="character" w:customStyle="1" w:styleId="103">
    <w:name w:val="普通文字 Char"/>
    <w:qFormat/>
    <w:uiPriority w:val="0"/>
    <w:rPr>
      <w:rFonts w:ascii="宋体" w:hAnsi="Courier New" w:eastAsia="宋体" w:cs="Courier New"/>
      <w:kern w:val="2"/>
      <w:sz w:val="21"/>
      <w:szCs w:val="21"/>
      <w:lang w:val="en-US" w:eastAsia="zh-CN" w:bidi="ar-SA"/>
    </w:rPr>
  </w:style>
  <w:style w:type="character" w:customStyle="1" w:styleId="104">
    <w:name w:val="标题 1 Char2"/>
    <w:qFormat/>
    <w:uiPriority w:val="0"/>
    <w:rPr>
      <w:rFonts w:ascii="Times New Roman" w:hAnsi="Times New Roman" w:eastAsia="宋体" w:cs="Times New Roman"/>
      <w:b/>
      <w:bCs/>
      <w:kern w:val="44"/>
      <w:sz w:val="44"/>
      <w:szCs w:val="44"/>
    </w:rPr>
  </w:style>
  <w:style w:type="character" w:customStyle="1" w:styleId="105">
    <w:name w:val="正文缩进 Char1"/>
    <w:qFormat/>
    <w:uiPriority w:val="0"/>
    <w:rPr>
      <w:rFonts w:ascii="宋体" w:hAnsi="Times New Roman"/>
      <w:sz w:val="21"/>
    </w:rPr>
  </w:style>
  <w:style w:type="character" w:customStyle="1" w:styleId="106">
    <w:name w:val="body1"/>
    <w:qFormat/>
    <w:uiPriority w:val="0"/>
    <w:rPr>
      <w:rFonts w:hint="default"/>
      <w:spacing w:val="432"/>
      <w:sz w:val="18"/>
      <w:szCs w:val="18"/>
    </w:rPr>
  </w:style>
  <w:style w:type="character" w:customStyle="1" w:styleId="107">
    <w:name w:val="Char Char Char Char Char Char Char"/>
    <w:qFormat/>
    <w:uiPriority w:val="0"/>
    <w:rPr>
      <w:rFonts w:ascii="宋体" w:hAnsi="Courier New" w:eastAsia="宋体"/>
      <w:kern w:val="2"/>
      <w:sz w:val="21"/>
      <w:lang w:val="en-US" w:eastAsia="zh-CN"/>
    </w:rPr>
  </w:style>
  <w:style w:type="character" w:customStyle="1" w:styleId="108">
    <w:name w:val="fontp1"/>
    <w:qFormat/>
    <w:uiPriority w:val="0"/>
    <w:rPr>
      <w:rFonts w:hint="eastAsia" w:ascii="宋体" w:hAnsi="宋体" w:eastAsia="宋体"/>
      <w:sz w:val="18"/>
      <w:szCs w:val="18"/>
    </w:rPr>
  </w:style>
  <w:style w:type="character" w:customStyle="1" w:styleId="109">
    <w:name w:val="！正文 Char Char"/>
    <w:link w:val="110"/>
    <w:qFormat/>
    <w:uiPriority w:val="0"/>
    <w:rPr>
      <w:rFonts w:ascii="宋体" w:hAnsi="宋体" w:eastAsia="宋体"/>
      <w:color w:val="000000"/>
      <w:sz w:val="24"/>
      <w:szCs w:val="24"/>
    </w:rPr>
  </w:style>
  <w:style w:type="paragraph" w:customStyle="1" w:styleId="110">
    <w:name w:val="！正文"/>
    <w:basedOn w:val="1"/>
    <w:link w:val="109"/>
    <w:qFormat/>
    <w:uiPriority w:val="0"/>
    <w:pPr>
      <w:jc w:val="center"/>
    </w:pPr>
    <w:rPr>
      <w:rFonts w:ascii="宋体" w:hAnsi="宋体"/>
      <w:color w:val="000000"/>
      <w:kern w:val="0"/>
      <w:sz w:val="24"/>
      <w:szCs w:val="24"/>
    </w:rPr>
  </w:style>
  <w:style w:type="character" w:customStyle="1" w:styleId="111">
    <w:name w:val="hui1"/>
    <w:qFormat/>
    <w:uiPriority w:val="0"/>
    <w:rPr>
      <w:color w:val="404040"/>
      <w:sz w:val="18"/>
      <w:szCs w:val="18"/>
      <w:u w:val="none"/>
    </w:rPr>
  </w:style>
  <w:style w:type="character" w:customStyle="1" w:styleId="112">
    <w:name w:val="不明显强调1"/>
    <w:qFormat/>
    <w:uiPriority w:val="0"/>
    <w:rPr>
      <w:rFonts w:ascii="仿宋_GB2312" w:eastAsia="仿宋_GB2312"/>
      <w:b/>
      <w:i/>
      <w:iCs/>
      <w:color w:val="808080"/>
      <w:kern w:val="2"/>
      <w:sz w:val="32"/>
      <w:szCs w:val="32"/>
      <w:lang w:val="en-US" w:eastAsia="zh-CN" w:bidi="ar-SA"/>
    </w:rPr>
  </w:style>
  <w:style w:type="character" w:customStyle="1" w:styleId="113">
    <w:name w:val="批注文字 Char1"/>
    <w:qFormat/>
    <w:uiPriority w:val="0"/>
    <w:rPr>
      <w:rFonts w:ascii="Times New Roman" w:hAnsi="Times New Roman" w:eastAsia="宋体" w:cs="Times New Roman"/>
      <w:szCs w:val="20"/>
    </w:rPr>
  </w:style>
  <w:style w:type="paragraph" w:customStyle="1" w:styleId="11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rPr>
  </w:style>
  <w:style w:type="paragraph" w:customStyle="1" w:styleId="115">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000000"/>
      <w:kern w:val="0"/>
      <w:sz w:val="20"/>
    </w:rPr>
  </w:style>
  <w:style w:type="paragraph" w:customStyle="1" w:styleId="116">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rPr>
  </w:style>
  <w:style w:type="paragraph" w:customStyle="1" w:styleId="117">
    <w:name w:val="样式 标题4 + 首行缩进:  1.5 字符 段后: 1 行"/>
    <w:basedOn w:val="1"/>
    <w:qFormat/>
    <w:uiPriority w:val="0"/>
    <w:pPr>
      <w:ind w:left="649" w:hanging="81"/>
    </w:pPr>
  </w:style>
  <w:style w:type="paragraph" w:customStyle="1" w:styleId="118">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rPr>
  </w:style>
  <w:style w:type="paragraph" w:customStyle="1" w:styleId="119">
    <w:name w:val="Char Char Char"/>
    <w:basedOn w:val="1"/>
    <w:qFormat/>
    <w:uiPriority w:val="0"/>
    <w:rPr>
      <w:szCs w:val="24"/>
    </w:rPr>
  </w:style>
  <w:style w:type="paragraph" w:customStyle="1" w:styleId="120">
    <w:name w:val="xl77"/>
    <w:basedOn w:val="1"/>
    <w:qFormat/>
    <w:uiPriority w:val="0"/>
    <w:pPr>
      <w:widowControl/>
      <w:spacing w:before="100" w:beforeAutospacing="1" w:after="100" w:afterAutospacing="1"/>
      <w:jc w:val="left"/>
      <w:textAlignment w:val="center"/>
    </w:pPr>
    <w:rPr>
      <w:rFonts w:ascii="宋体" w:hAnsi="宋体" w:cs="宋体"/>
      <w:kern w:val="0"/>
      <w:sz w:val="20"/>
    </w:rPr>
  </w:style>
  <w:style w:type="paragraph" w:customStyle="1" w:styleId="121">
    <w:name w:val="Char Char Char Char Char Char"/>
    <w:basedOn w:val="1"/>
    <w:qFormat/>
    <w:uiPriority w:val="0"/>
    <w:rPr>
      <w:szCs w:val="21"/>
    </w:rPr>
  </w:style>
  <w:style w:type="paragraph" w:customStyle="1" w:styleId="122">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rPr>
  </w:style>
  <w:style w:type="character" w:customStyle="1" w:styleId="123">
    <w:name w:val="HTML 预设格式 Char1"/>
    <w:qFormat/>
    <w:uiPriority w:val="0"/>
    <w:rPr>
      <w:rFonts w:ascii="Courier New" w:hAnsi="Courier New" w:eastAsia="宋体" w:cs="Courier New"/>
      <w:sz w:val="20"/>
      <w:szCs w:val="20"/>
    </w:rPr>
  </w:style>
  <w:style w:type="paragraph" w:customStyle="1" w:styleId="124">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character" w:customStyle="1" w:styleId="125">
    <w:name w:val="标题 Char1"/>
    <w:qFormat/>
    <w:uiPriority w:val="10"/>
    <w:rPr>
      <w:rFonts w:ascii="Cambria" w:hAnsi="Cambria" w:eastAsia="宋体" w:cs="Times New Roman"/>
      <w:b/>
      <w:bCs/>
      <w:sz w:val="32"/>
      <w:szCs w:val="32"/>
    </w:rPr>
  </w:style>
  <w:style w:type="paragraph" w:customStyle="1" w:styleId="126">
    <w:name w:val="P标3"/>
    <w:basedOn w:val="4"/>
    <w:qFormat/>
    <w:uiPriority w:val="0"/>
    <w:pPr>
      <w:keepNext w:val="0"/>
      <w:keepLines w:val="0"/>
      <w:tabs>
        <w:tab w:val="left" w:pos="570"/>
      </w:tabs>
      <w:autoSpaceDE w:val="0"/>
      <w:autoSpaceDN w:val="0"/>
      <w:adjustRightInd w:val="0"/>
      <w:spacing w:before="120" w:after="120" w:line="480" w:lineRule="atLeast"/>
      <w:ind w:left="570" w:hanging="420"/>
    </w:pPr>
    <w:rPr>
      <w:b w:val="0"/>
      <w:kern w:val="0"/>
    </w:rPr>
  </w:style>
  <w:style w:type="character" w:customStyle="1" w:styleId="127">
    <w:name w:val="页眉 Char1"/>
    <w:qFormat/>
    <w:uiPriority w:val="0"/>
    <w:rPr>
      <w:rFonts w:ascii="Times New Roman" w:hAnsi="Times New Roman" w:eastAsia="宋体" w:cs="Times New Roman"/>
      <w:sz w:val="18"/>
      <w:szCs w:val="18"/>
    </w:rPr>
  </w:style>
  <w:style w:type="character" w:customStyle="1" w:styleId="128">
    <w:name w:val="副标题 Char1"/>
    <w:qFormat/>
    <w:uiPriority w:val="11"/>
    <w:rPr>
      <w:rFonts w:ascii="Cambria" w:hAnsi="Cambria" w:eastAsia="宋体" w:cs="Times New Roman"/>
      <w:b/>
      <w:bCs/>
      <w:kern w:val="28"/>
      <w:sz w:val="32"/>
      <w:szCs w:val="32"/>
    </w:rPr>
  </w:style>
  <w:style w:type="character" w:customStyle="1" w:styleId="129">
    <w:name w:val="文档结构图 Char1"/>
    <w:qFormat/>
    <w:uiPriority w:val="0"/>
    <w:rPr>
      <w:rFonts w:ascii="宋体" w:hAnsi="Times New Roman" w:eastAsia="宋体" w:cs="Times New Roman"/>
      <w:sz w:val="18"/>
      <w:szCs w:val="18"/>
    </w:rPr>
  </w:style>
  <w:style w:type="character" w:customStyle="1" w:styleId="130">
    <w:name w:val="批注框文本 Char1"/>
    <w:qFormat/>
    <w:uiPriority w:val="0"/>
    <w:rPr>
      <w:rFonts w:ascii="Times New Roman" w:hAnsi="Times New Roman" w:eastAsia="宋体" w:cs="Times New Roman"/>
      <w:sz w:val="18"/>
      <w:szCs w:val="18"/>
    </w:rPr>
  </w:style>
  <w:style w:type="paragraph" w:customStyle="1" w:styleId="131">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rPr>
  </w:style>
  <w:style w:type="paragraph" w:customStyle="1" w:styleId="132">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rPr>
  </w:style>
  <w:style w:type="paragraph" w:customStyle="1" w:styleId="133">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rPr>
  </w:style>
  <w:style w:type="paragraph" w:customStyle="1" w:styleId="134">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rPr>
  </w:style>
  <w:style w:type="paragraph" w:customStyle="1" w:styleId="135">
    <w:name w:val="图"/>
    <w:basedOn w:val="1"/>
    <w:qFormat/>
    <w:uiPriority w:val="0"/>
    <w:pPr>
      <w:keepNext/>
      <w:adjustRightInd w:val="0"/>
      <w:spacing w:before="60" w:after="60" w:line="300" w:lineRule="auto"/>
      <w:jc w:val="center"/>
      <w:textAlignment w:val="center"/>
    </w:pPr>
    <w:rPr>
      <w:snapToGrid w:val="0"/>
      <w:spacing w:val="20"/>
      <w:kern w:val="0"/>
      <w:sz w:val="24"/>
    </w:rPr>
  </w:style>
  <w:style w:type="paragraph" w:customStyle="1" w:styleId="136">
    <w:name w:val="xl29"/>
    <w:basedOn w:val="1"/>
    <w:qFormat/>
    <w:uiPriority w:val="0"/>
    <w:pPr>
      <w:widowControl/>
      <w:spacing w:before="100" w:beforeAutospacing="1" w:after="100" w:afterAutospacing="1"/>
      <w:jc w:val="center"/>
    </w:pPr>
    <w:rPr>
      <w:rFonts w:ascii="宋体" w:hAnsi="宋体"/>
      <w:kern w:val="0"/>
      <w:sz w:val="28"/>
    </w:rPr>
  </w:style>
  <w:style w:type="paragraph" w:customStyle="1" w:styleId="137">
    <w:name w:val="样式2"/>
    <w:basedOn w:val="27"/>
    <w:qFormat/>
    <w:uiPriority w:val="0"/>
    <w:pPr>
      <w:widowControl/>
      <w:pBdr>
        <w:top w:val="single" w:color="auto" w:sz="4" w:space="1"/>
      </w:pBdr>
      <w:ind w:left="90" w:leftChars="43" w:firstLine="990" w:firstLineChars="550"/>
    </w:pPr>
    <w:rPr>
      <w:rFonts w:ascii="宋体" w:hAnsi="宋体"/>
    </w:rPr>
  </w:style>
  <w:style w:type="paragraph" w:customStyle="1" w:styleId="138">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character" w:customStyle="1" w:styleId="139">
    <w:name w:val="批注主题 Char1"/>
    <w:qFormat/>
    <w:uiPriority w:val="0"/>
    <w:rPr>
      <w:rFonts w:ascii="Times New Roman" w:hAnsi="Times New Roman" w:eastAsia="宋体" w:cs="Times New Roman"/>
      <w:b/>
      <w:bCs/>
      <w:szCs w:val="20"/>
    </w:rPr>
  </w:style>
  <w:style w:type="character" w:customStyle="1" w:styleId="140">
    <w:name w:val="页脚 Char1"/>
    <w:qFormat/>
    <w:uiPriority w:val="0"/>
    <w:rPr>
      <w:rFonts w:ascii="Times New Roman" w:hAnsi="Times New Roman" w:eastAsia="宋体" w:cs="Times New Roman"/>
      <w:sz w:val="18"/>
      <w:szCs w:val="18"/>
    </w:rPr>
  </w:style>
  <w:style w:type="character" w:customStyle="1" w:styleId="141">
    <w:name w:val="正文文本 3 Char1"/>
    <w:qFormat/>
    <w:uiPriority w:val="0"/>
    <w:rPr>
      <w:rFonts w:ascii="Times New Roman" w:hAnsi="Times New Roman" w:eastAsia="宋体" w:cs="Times New Roman"/>
      <w:sz w:val="16"/>
      <w:szCs w:val="16"/>
    </w:rPr>
  </w:style>
  <w:style w:type="character" w:customStyle="1" w:styleId="142">
    <w:name w:val="纯文本 Char2"/>
    <w:qFormat/>
    <w:uiPriority w:val="0"/>
    <w:rPr>
      <w:rFonts w:ascii="宋体" w:hAnsi="Courier New" w:eastAsia="宋体" w:cs="Courier New"/>
      <w:szCs w:val="21"/>
    </w:rPr>
  </w:style>
  <w:style w:type="paragraph" w:customStyle="1" w:styleId="143">
    <w:name w:val="Char"/>
    <w:basedOn w:val="1"/>
    <w:qFormat/>
    <w:uiPriority w:val="0"/>
    <w:pPr>
      <w:tabs>
        <w:tab w:val="left" w:pos="570"/>
      </w:tabs>
      <w:ind w:left="570" w:hanging="420"/>
    </w:pPr>
    <w:rPr>
      <w:sz w:val="24"/>
    </w:rPr>
  </w:style>
  <w:style w:type="paragraph" w:customStyle="1" w:styleId="144">
    <w:name w:val="Char Char Char Char Char Char Char Char Char"/>
    <w:basedOn w:val="1"/>
    <w:qFormat/>
    <w:uiPriority w:val="0"/>
    <w:pPr>
      <w:adjustRightInd w:val="0"/>
      <w:spacing w:line="360" w:lineRule="auto"/>
    </w:pPr>
    <w:rPr>
      <w:kern w:val="0"/>
      <w:sz w:val="24"/>
    </w:rPr>
  </w:style>
  <w:style w:type="paragraph" w:customStyle="1" w:styleId="145">
    <w:name w:val="样式 小四 段前: 5 磅 段后: 5 磅 首行缩进:  2 字符"/>
    <w:basedOn w:val="1"/>
    <w:qFormat/>
    <w:uiPriority w:val="0"/>
    <w:pPr>
      <w:spacing w:line="360" w:lineRule="auto"/>
      <w:ind w:firstLine="480"/>
    </w:pPr>
    <w:rPr>
      <w:b/>
      <w:sz w:val="24"/>
    </w:rPr>
  </w:style>
  <w:style w:type="paragraph" w:customStyle="1" w:styleId="146">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rPr>
  </w:style>
  <w:style w:type="paragraph" w:customStyle="1" w:styleId="147">
    <w:name w:val="--规划正文"/>
    <w:basedOn w:val="1"/>
    <w:qFormat/>
    <w:uiPriority w:val="0"/>
    <w:pPr>
      <w:spacing w:line="360" w:lineRule="auto"/>
      <w:ind w:firstLine="200" w:firstLineChars="200"/>
    </w:pPr>
  </w:style>
  <w:style w:type="paragraph" w:customStyle="1" w:styleId="148">
    <w:name w:val="默认段落字体 Para Char Char Char Char Char Char Char"/>
    <w:basedOn w:val="14"/>
    <w:qFormat/>
    <w:uiPriority w:val="0"/>
    <w:pPr>
      <w:adjustRightInd w:val="0"/>
      <w:spacing w:beforeLines="50" w:afterLines="50" w:line="360" w:lineRule="auto"/>
      <w:ind w:left="357"/>
      <w:jc w:val="left"/>
      <w:outlineLvl w:val="3"/>
    </w:pPr>
    <w:rPr>
      <w:rFonts w:ascii="Tahoma" w:hAnsi="Tahoma"/>
      <w:b/>
      <w:sz w:val="24"/>
      <w:szCs w:val="24"/>
    </w:rPr>
  </w:style>
  <w:style w:type="paragraph" w:customStyle="1" w:styleId="149">
    <w:name w:val="xl32"/>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hint="eastAsia" w:ascii="楷体_GB2312" w:hAnsi="宋体" w:eastAsia="楷体_GB2312"/>
      <w:kern w:val="0"/>
      <w:sz w:val="24"/>
    </w:rPr>
  </w:style>
  <w:style w:type="paragraph" w:customStyle="1" w:styleId="15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rPr>
  </w:style>
  <w:style w:type="paragraph" w:customStyle="1" w:styleId="151">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rPr>
  </w:style>
  <w:style w:type="paragraph" w:customStyle="1" w:styleId="152">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153">
    <w:name w:val="修订1"/>
    <w:qFormat/>
    <w:uiPriority w:val="0"/>
    <w:pPr>
      <w:spacing w:line="276" w:lineRule="auto"/>
      <w:jc w:val="both"/>
    </w:pPr>
    <w:rPr>
      <w:rFonts w:ascii="Calibri" w:hAnsi="Calibri" w:eastAsia="宋体" w:cs="Times New Roman"/>
      <w:kern w:val="2"/>
      <w:sz w:val="24"/>
      <w:szCs w:val="22"/>
      <w:lang w:val="en-US" w:eastAsia="zh-CN" w:bidi="ar-SA"/>
    </w:rPr>
  </w:style>
  <w:style w:type="paragraph" w:customStyle="1" w:styleId="154">
    <w:name w:val="a"/>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55">
    <w:name w:val="Char2 Char Char Char Char Char Char Char Char Char Char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szCs w:val="24"/>
    </w:rPr>
  </w:style>
  <w:style w:type="paragraph" w:customStyle="1" w:styleId="156">
    <w:name w:val="xl3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kern w:val="0"/>
      <w:sz w:val="24"/>
    </w:rPr>
  </w:style>
  <w:style w:type="paragraph" w:customStyle="1" w:styleId="157">
    <w:name w:val="b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58">
    <w:name w:val="xl75"/>
    <w:basedOn w:val="1"/>
    <w:qFormat/>
    <w:uiPriority w:val="0"/>
    <w:pPr>
      <w:widowControl/>
      <w:spacing w:before="100" w:beforeAutospacing="1" w:after="100" w:afterAutospacing="1"/>
      <w:jc w:val="center"/>
      <w:textAlignment w:val="center"/>
    </w:pPr>
    <w:rPr>
      <w:rFonts w:ascii="宋体" w:hAnsi="宋体" w:cs="宋体"/>
      <w:kern w:val="0"/>
      <w:sz w:val="20"/>
    </w:rPr>
  </w:style>
  <w:style w:type="paragraph" w:customStyle="1" w:styleId="159">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rPr>
  </w:style>
  <w:style w:type="paragraph" w:customStyle="1" w:styleId="160">
    <w:name w:val="xl24"/>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kern w:val="0"/>
      <w:sz w:val="24"/>
    </w:rPr>
  </w:style>
  <w:style w:type="paragraph" w:customStyle="1" w:styleId="16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rPr>
  </w:style>
  <w:style w:type="paragraph" w:customStyle="1" w:styleId="162">
    <w:name w:val="Default"/>
    <w:qFormat/>
    <w:uiPriority w:val="0"/>
    <w:pPr>
      <w:widowControl w:val="0"/>
      <w:autoSpaceDE w:val="0"/>
      <w:autoSpaceDN w:val="0"/>
      <w:adjustRightInd w:val="0"/>
      <w:spacing w:line="276" w:lineRule="auto"/>
      <w:jc w:val="both"/>
    </w:pPr>
    <w:rPr>
      <w:rFonts w:ascii="汉仪细圆简" w:hAnsi="Times New Roman" w:eastAsia="汉仪细圆简" w:cs="汉仪细圆简"/>
      <w:color w:val="000000"/>
      <w:sz w:val="24"/>
      <w:szCs w:val="24"/>
      <w:lang w:val="en-US" w:eastAsia="zh-CN" w:bidi="ar-SA"/>
    </w:rPr>
  </w:style>
  <w:style w:type="paragraph" w:customStyle="1" w:styleId="163">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rPr>
  </w:style>
  <w:style w:type="paragraph" w:customStyle="1" w:styleId="164">
    <w:name w:val="Char1"/>
    <w:basedOn w:val="1"/>
    <w:qFormat/>
    <w:uiPriority w:val="0"/>
    <w:rPr>
      <w:rFonts w:ascii="Tahoma" w:hAnsi="Tahoma"/>
      <w:sz w:val="24"/>
      <w:szCs w:val="24"/>
    </w:rPr>
  </w:style>
  <w:style w:type="paragraph" w:customStyle="1" w:styleId="165">
    <w:name w:val="D标3"/>
    <w:basedOn w:val="4"/>
    <w:qFormat/>
    <w:uiPriority w:val="0"/>
    <w:pPr>
      <w:keepNext w:val="0"/>
      <w:keepLines w:val="0"/>
      <w:tabs>
        <w:tab w:val="left" w:pos="1140"/>
      </w:tabs>
      <w:autoSpaceDE w:val="0"/>
      <w:autoSpaceDN w:val="0"/>
      <w:adjustRightInd w:val="0"/>
      <w:spacing w:before="120" w:after="0" w:line="480" w:lineRule="atLeast"/>
      <w:ind w:left="1140" w:hanging="1140"/>
    </w:pPr>
    <w:rPr>
      <w:b w:val="0"/>
      <w:kern w:val="0"/>
    </w:rPr>
  </w:style>
  <w:style w:type="paragraph" w:customStyle="1" w:styleId="166">
    <w:name w:val="默认段落字体 Para Char"/>
    <w:basedOn w:val="1"/>
    <w:qFormat/>
    <w:uiPriority w:val="0"/>
    <w:pPr>
      <w:tabs>
        <w:tab w:val="left" w:pos="360"/>
        <w:tab w:val="left" w:pos="425"/>
      </w:tabs>
      <w:ind w:left="420" w:hanging="425"/>
    </w:pPr>
    <w:rPr>
      <w:sz w:val="24"/>
      <w:szCs w:val="24"/>
    </w:rPr>
  </w:style>
  <w:style w:type="paragraph" w:customStyle="1" w:styleId="167">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rPr>
  </w:style>
  <w:style w:type="paragraph" w:customStyle="1" w:styleId="168">
    <w:name w:val="D标4"/>
    <w:basedOn w:val="1"/>
    <w:next w:val="169"/>
    <w:qFormat/>
    <w:uiPriority w:val="0"/>
    <w:pPr>
      <w:tabs>
        <w:tab w:val="left" w:pos="1140"/>
      </w:tabs>
      <w:autoSpaceDE w:val="0"/>
      <w:autoSpaceDN w:val="0"/>
      <w:adjustRightInd w:val="0"/>
      <w:spacing w:before="120" w:line="480" w:lineRule="atLeast"/>
      <w:ind w:left="1140" w:hanging="1140"/>
    </w:pPr>
    <w:rPr>
      <w:rFonts w:ascii="宋体"/>
      <w:kern w:val="0"/>
      <w:sz w:val="24"/>
    </w:rPr>
  </w:style>
  <w:style w:type="paragraph" w:customStyle="1" w:styleId="169">
    <w:name w:val="D文1"/>
    <w:basedOn w:val="1"/>
    <w:qFormat/>
    <w:uiPriority w:val="0"/>
    <w:pPr>
      <w:tabs>
        <w:tab w:val="left" w:pos="720"/>
      </w:tabs>
      <w:autoSpaceDE w:val="0"/>
      <w:autoSpaceDN w:val="0"/>
      <w:adjustRightInd w:val="0"/>
      <w:spacing w:after="120" w:line="480" w:lineRule="atLeast"/>
      <w:ind w:left="680" w:firstLine="510"/>
    </w:pPr>
    <w:rPr>
      <w:rFonts w:ascii="宋体"/>
      <w:kern w:val="0"/>
      <w:sz w:val="24"/>
    </w:rPr>
  </w:style>
  <w:style w:type="paragraph" w:customStyle="1" w:styleId="170">
    <w:name w:val="xl28"/>
    <w:basedOn w:val="1"/>
    <w:qFormat/>
    <w:uiPriority w:val="0"/>
    <w:pPr>
      <w:widowControl/>
      <w:spacing w:before="100" w:beforeAutospacing="1" w:after="100" w:afterAutospacing="1"/>
      <w:jc w:val="left"/>
      <w:textAlignment w:val="center"/>
    </w:pPr>
    <w:rPr>
      <w:rFonts w:hint="eastAsia" w:ascii="楷体_GB2312" w:hAnsi="宋体" w:eastAsia="楷体_GB2312"/>
      <w:kern w:val="0"/>
      <w:sz w:val="24"/>
    </w:rPr>
  </w:style>
  <w:style w:type="paragraph" w:customStyle="1" w:styleId="171">
    <w:name w:val="默认段落字体 Para Char Char Char Char Char"/>
    <w:basedOn w:val="1"/>
    <w:qFormat/>
    <w:uiPriority w:val="0"/>
    <w:pPr>
      <w:adjustRightInd w:val="0"/>
      <w:spacing w:line="360" w:lineRule="auto"/>
    </w:pPr>
    <w:rPr>
      <w:sz w:val="24"/>
      <w:szCs w:val="24"/>
    </w:rPr>
  </w:style>
  <w:style w:type="paragraph" w:customStyle="1" w:styleId="172">
    <w:name w:val="xl86"/>
    <w:basedOn w:val="1"/>
    <w:qFormat/>
    <w:uiPriority w:val="0"/>
    <w:pPr>
      <w:widowControl/>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17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楷体_GB2312" w:hAnsi="宋体" w:eastAsia="楷体_GB2312"/>
      <w:kern w:val="0"/>
      <w:sz w:val="24"/>
    </w:rPr>
  </w:style>
  <w:style w:type="paragraph" w:customStyle="1" w:styleId="174">
    <w:name w:val="题注5"/>
    <w:basedOn w:val="1"/>
    <w:next w:val="13"/>
    <w:qFormat/>
    <w:uiPriority w:val="0"/>
    <w:pPr>
      <w:jc w:val="center"/>
    </w:pPr>
    <w:rPr>
      <w:b/>
      <w:color w:val="000000"/>
      <w:sz w:val="24"/>
      <w:szCs w:val="21"/>
    </w:rPr>
  </w:style>
  <w:style w:type="paragraph" w:customStyle="1" w:styleId="175">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rPr>
  </w:style>
  <w:style w:type="paragraph" w:customStyle="1" w:styleId="176">
    <w:name w:val="样式1"/>
    <w:basedOn w:val="1"/>
    <w:qFormat/>
    <w:uiPriority w:val="0"/>
    <w:rPr>
      <w:b/>
      <w:sz w:val="30"/>
      <w:szCs w:val="30"/>
    </w:rPr>
  </w:style>
  <w:style w:type="paragraph" w:customStyle="1" w:styleId="17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rPr>
  </w:style>
  <w:style w:type="paragraph" w:customStyle="1" w:styleId="178">
    <w:name w:val="Char Char Char Char Char Char Char Char Char Char Char Char Char"/>
    <w:basedOn w:val="1"/>
    <w:qFormat/>
    <w:uiPriority w:val="0"/>
    <w:pPr>
      <w:widowControl/>
      <w:spacing w:after="160" w:line="240" w:lineRule="exact"/>
      <w:jc w:val="left"/>
    </w:pPr>
    <w:rPr>
      <w:rFonts w:eastAsia="仿宋_GB2312"/>
      <w:sz w:val="32"/>
    </w:rPr>
  </w:style>
  <w:style w:type="paragraph" w:customStyle="1" w:styleId="179">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rPr>
  </w:style>
  <w:style w:type="paragraph" w:customStyle="1" w:styleId="180">
    <w:name w:val="文件正文"/>
    <w:basedOn w:val="1"/>
    <w:qFormat/>
    <w:uiPriority w:val="0"/>
    <w:pPr>
      <w:spacing w:line="360" w:lineRule="auto"/>
      <w:ind w:firstLine="480" w:firstLineChars="200"/>
    </w:pPr>
    <w:rPr>
      <w:rFonts w:eastAsia="仿宋_GB2312" w:cs="仿宋_GB2312"/>
      <w:sz w:val="24"/>
      <w:szCs w:val="24"/>
    </w:rPr>
  </w:style>
  <w:style w:type="paragraph" w:customStyle="1" w:styleId="18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rPr>
  </w:style>
  <w:style w:type="paragraph" w:customStyle="1" w:styleId="182">
    <w:name w:val="表格内文"/>
    <w:basedOn w:val="1"/>
    <w:qFormat/>
    <w:uiPriority w:val="0"/>
    <w:pPr>
      <w:spacing w:line="400" w:lineRule="exact"/>
    </w:pPr>
    <w:rPr>
      <w:rFonts w:ascii="Arial" w:hAnsi="Arial" w:cs="宋体"/>
    </w:rPr>
  </w:style>
  <w:style w:type="paragraph" w:customStyle="1" w:styleId="183">
    <w:name w:val="页脚2"/>
    <w:basedOn w:val="1"/>
    <w:qFormat/>
    <w:uiPriority w:val="0"/>
    <w:pPr>
      <w:widowControl/>
      <w:pBdr>
        <w:top w:val="single" w:color="auto" w:sz="6" w:space="0"/>
      </w:pBdr>
      <w:jc w:val="right"/>
      <w:textAlignment w:val="center"/>
    </w:pPr>
    <w:rPr>
      <w:rFonts w:ascii="宋体" w:hAnsi="宋体"/>
      <w:sz w:val="18"/>
    </w:rPr>
  </w:style>
  <w:style w:type="paragraph" w:customStyle="1" w:styleId="184">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85">
    <w:name w:val="TOC 标题1"/>
    <w:basedOn w:val="2"/>
    <w:next w:val="1"/>
    <w:qFormat/>
    <w:uiPriority w:val="0"/>
    <w:pPr>
      <w:pageBreakBefore/>
      <w:widowControl/>
      <w:spacing w:beforeLines="150" w:after="0" w:line="300" w:lineRule="auto"/>
      <w:jc w:val="left"/>
    </w:pPr>
    <w:rPr>
      <w:rFonts w:ascii="Cambria" w:hAnsi="Cambria" w:eastAsia="宋体"/>
      <w:bCs/>
      <w:kern w:val="0"/>
      <w:sz w:val="30"/>
      <w:szCs w:val="28"/>
    </w:rPr>
  </w:style>
  <w:style w:type="paragraph" w:customStyle="1" w:styleId="186">
    <w:name w:val="font6"/>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187">
    <w:name w:val="xl116"/>
    <w:basedOn w:val="1"/>
    <w:qFormat/>
    <w:uiPriority w:val="0"/>
    <w:pPr>
      <w:widowControl/>
      <w:spacing w:before="100" w:beforeAutospacing="1" w:after="100" w:afterAutospacing="1"/>
      <w:jc w:val="center"/>
      <w:textAlignment w:val="center"/>
    </w:pPr>
    <w:rPr>
      <w:rFonts w:ascii="宋体" w:hAnsi="宋体" w:cs="宋体"/>
      <w:kern w:val="0"/>
      <w:sz w:val="20"/>
    </w:rPr>
  </w:style>
  <w:style w:type="paragraph" w:customStyle="1" w:styleId="188">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rPr>
  </w:style>
  <w:style w:type="paragraph" w:customStyle="1" w:styleId="189">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000000"/>
      <w:kern w:val="0"/>
      <w:sz w:val="20"/>
    </w:rPr>
  </w:style>
  <w:style w:type="paragraph" w:customStyle="1" w:styleId="190">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rPr>
  </w:style>
  <w:style w:type="paragraph" w:customStyle="1" w:styleId="191">
    <w:name w:val="D标1"/>
    <w:basedOn w:val="2"/>
    <w:next w:val="1"/>
    <w:qFormat/>
    <w:uiPriority w:val="0"/>
    <w:pPr>
      <w:keepLines w:val="0"/>
      <w:pageBreakBefore/>
      <w:widowControl/>
      <w:tabs>
        <w:tab w:val="left" w:pos="425"/>
      </w:tabs>
      <w:autoSpaceDE w:val="0"/>
      <w:autoSpaceDN w:val="0"/>
      <w:adjustRightInd w:val="0"/>
      <w:spacing w:before="360" w:after="240" w:line="315" w:lineRule="atLeast"/>
      <w:ind w:left="425"/>
      <w:jc w:val="center"/>
    </w:pPr>
    <w:rPr>
      <w:rFonts w:ascii="黑体" w:eastAsia="黑体"/>
      <w:b w:val="0"/>
      <w:kern w:val="0"/>
      <w:sz w:val="36"/>
    </w:rPr>
  </w:style>
  <w:style w:type="paragraph" w:customStyle="1" w:styleId="192">
    <w:name w:val="Char Char Char Char Char Char Char Char Char Char Char Char Char Char Char Char Char Char Char Char Char Char Char Char2 Char"/>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19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94">
    <w:name w:val="font5"/>
    <w:basedOn w:val="1"/>
    <w:qFormat/>
    <w:uiPriority w:val="0"/>
    <w:pPr>
      <w:widowControl/>
      <w:spacing w:before="100" w:beforeAutospacing="1" w:after="100" w:afterAutospacing="1"/>
      <w:jc w:val="left"/>
    </w:pPr>
    <w:rPr>
      <w:rFonts w:hint="eastAsia" w:ascii="宋体" w:hAnsi="宋体"/>
      <w:kern w:val="0"/>
      <w:sz w:val="18"/>
    </w:rPr>
  </w:style>
  <w:style w:type="paragraph" w:customStyle="1" w:styleId="195">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rPr>
  </w:style>
  <w:style w:type="paragraph" w:customStyle="1" w:styleId="196">
    <w:name w:val="Char1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97">
    <w:name w:val="标题2"/>
    <w:basedOn w:val="1"/>
    <w:next w:val="1"/>
    <w:qFormat/>
    <w:uiPriority w:val="0"/>
    <w:pPr>
      <w:widowControl/>
      <w:tabs>
        <w:tab w:val="left" w:pos="1134"/>
      </w:tabs>
      <w:overflowPunct w:val="0"/>
      <w:autoSpaceDE w:val="0"/>
      <w:autoSpaceDN w:val="0"/>
      <w:adjustRightInd w:val="0"/>
      <w:spacing w:line="480" w:lineRule="atLeast"/>
      <w:ind w:left="567"/>
      <w:jc w:val="left"/>
      <w:textAlignment w:val="baseline"/>
    </w:pPr>
    <w:rPr>
      <w:rFonts w:eastAsia="黑体"/>
      <w:b/>
      <w:kern w:val="0"/>
      <w:sz w:val="24"/>
    </w:rPr>
  </w:style>
  <w:style w:type="paragraph" w:customStyle="1" w:styleId="198">
    <w:name w:val="样式 标题 3Level 3 HeadH3level_3PIM 3标题 1.1.1h3Heading 3 - ol...1"/>
    <w:basedOn w:val="4"/>
    <w:qFormat/>
    <w:uiPriority w:val="0"/>
    <w:pPr>
      <w:tabs>
        <w:tab w:val="left" w:pos="80"/>
      </w:tabs>
      <w:spacing w:before="0" w:after="0" w:line="360" w:lineRule="auto"/>
      <w:ind w:left="420"/>
    </w:pPr>
  </w:style>
  <w:style w:type="paragraph" w:customStyle="1" w:styleId="199">
    <w:name w:val="xl76"/>
    <w:basedOn w:val="1"/>
    <w:qFormat/>
    <w:uiPriority w:val="0"/>
    <w:pPr>
      <w:widowControl/>
      <w:spacing w:before="100" w:beforeAutospacing="1" w:after="100" w:afterAutospacing="1"/>
      <w:jc w:val="left"/>
      <w:textAlignment w:val="center"/>
    </w:pPr>
    <w:rPr>
      <w:rFonts w:ascii="宋体" w:hAnsi="宋体" w:cs="宋体"/>
      <w:kern w:val="0"/>
      <w:sz w:val="20"/>
    </w:rPr>
  </w:style>
  <w:style w:type="paragraph" w:customStyle="1" w:styleId="200">
    <w:name w:val="xl74"/>
    <w:basedOn w:val="1"/>
    <w:qFormat/>
    <w:uiPriority w:val="0"/>
    <w:pPr>
      <w:widowControl/>
      <w:spacing w:before="100" w:beforeAutospacing="1" w:after="100" w:afterAutospacing="1"/>
      <w:jc w:val="left"/>
      <w:textAlignment w:val="center"/>
    </w:pPr>
    <w:rPr>
      <w:rFonts w:ascii="宋体" w:hAnsi="宋体" w:cs="宋体"/>
      <w:kern w:val="0"/>
      <w:sz w:val="20"/>
    </w:rPr>
  </w:style>
  <w:style w:type="paragraph" w:customStyle="1" w:styleId="201">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rPr>
  </w:style>
  <w:style w:type="paragraph" w:customStyle="1" w:styleId="202">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rPr>
  </w:style>
  <w:style w:type="paragraph" w:customStyle="1" w:styleId="203">
    <w:name w:val="Char Char Char Char Char Char Char Char Char Char"/>
    <w:basedOn w:val="1"/>
    <w:qFormat/>
    <w:uiPriority w:val="0"/>
    <w:rPr>
      <w:rFonts w:ascii="Tahoma" w:hAnsi="Tahoma"/>
      <w:sz w:val="24"/>
    </w:rPr>
  </w:style>
  <w:style w:type="paragraph" w:customStyle="1" w:styleId="204">
    <w:name w:val="Char Char Char Char"/>
    <w:basedOn w:val="14"/>
    <w:qFormat/>
    <w:uiPriority w:val="0"/>
    <w:rPr>
      <w:rFonts w:ascii="Tahoma" w:hAnsi="Tahoma"/>
      <w:sz w:val="24"/>
      <w:szCs w:val="24"/>
    </w:rPr>
  </w:style>
  <w:style w:type="paragraph" w:customStyle="1" w:styleId="205">
    <w:name w:val="xl3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kern w:val="0"/>
      <w:sz w:val="24"/>
    </w:rPr>
  </w:style>
  <w:style w:type="paragraph" w:customStyle="1" w:styleId="206">
    <w:name w:val="保留正文"/>
    <w:basedOn w:val="17"/>
    <w:qFormat/>
    <w:uiPriority w:val="0"/>
    <w:pPr>
      <w:keepNext/>
      <w:spacing w:after="160" w:line="480" w:lineRule="atLeast"/>
    </w:pPr>
    <w:rPr>
      <w:rFonts w:eastAsia="楷体_GB2312"/>
      <w:b/>
      <w:szCs w:val="24"/>
    </w:rPr>
  </w:style>
  <w:style w:type="paragraph" w:customStyle="1" w:styleId="207">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rPr>
  </w:style>
  <w:style w:type="paragraph" w:customStyle="1" w:styleId="208">
    <w:name w:val="表格文字"/>
    <w:basedOn w:val="1"/>
    <w:qFormat/>
    <w:uiPriority w:val="0"/>
    <w:pPr>
      <w:spacing w:before="25" w:after="25"/>
      <w:jc w:val="left"/>
    </w:pPr>
    <w:rPr>
      <w:bCs/>
      <w:spacing w:val="10"/>
      <w:kern w:val="0"/>
      <w:sz w:val="24"/>
    </w:rPr>
  </w:style>
  <w:style w:type="paragraph" w:customStyle="1" w:styleId="209">
    <w:name w:val="正文样式"/>
    <w:basedOn w:val="1"/>
    <w:qFormat/>
    <w:uiPriority w:val="0"/>
    <w:pPr>
      <w:spacing w:line="300" w:lineRule="auto"/>
      <w:ind w:firstLine="200" w:firstLineChars="200"/>
    </w:pPr>
    <w:rPr>
      <w:sz w:val="24"/>
    </w:rPr>
  </w:style>
  <w:style w:type="paragraph" w:customStyle="1" w:styleId="210">
    <w:name w:val="4级标题"/>
    <w:basedOn w:val="6"/>
    <w:qFormat/>
    <w:uiPriority w:val="0"/>
    <w:pPr>
      <w:keepLines/>
      <w:spacing w:before="300" w:after="300" w:line="360" w:lineRule="auto"/>
      <w:ind w:firstLine="424" w:firstLineChars="201"/>
      <w:contextualSpacing/>
    </w:pPr>
    <w:rPr>
      <w:b/>
      <w:bCs/>
      <w:color w:val="FF0000"/>
      <w:sz w:val="21"/>
      <w:szCs w:val="21"/>
    </w:rPr>
  </w:style>
  <w:style w:type="paragraph" w:customStyle="1" w:styleId="211">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rPr>
  </w:style>
  <w:style w:type="paragraph" w:customStyle="1" w:styleId="212">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213">
    <w:name w:val="样式3"/>
    <w:basedOn w:val="1"/>
    <w:qFormat/>
    <w:uiPriority w:val="0"/>
    <w:pPr>
      <w:tabs>
        <w:tab w:val="left" w:pos="993"/>
      </w:tabs>
      <w:ind w:left="993" w:hanging="425"/>
    </w:pPr>
    <w:rPr>
      <w:sz w:val="24"/>
      <w:szCs w:val="24"/>
    </w:rPr>
  </w:style>
  <w:style w:type="paragraph" w:customStyle="1" w:styleId="214">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kern w:val="0"/>
      <w:sz w:val="24"/>
    </w:rPr>
  </w:style>
  <w:style w:type="paragraph" w:customStyle="1" w:styleId="215">
    <w:name w:val="xl10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000000"/>
      <w:kern w:val="0"/>
      <w:sz w:val="20"/>
    </w:rPr>
  </w:style>
  <w:style w:type="paragraph" w:customStyle="1" w:styleId="216">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217">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rPr>
  </w:style>
  <w:style w:type="paragraph" w:customStyle="1" w:styleId="21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219">
    <w:name w:val="Char1 Char Char Char"/>
    <w:basedOn w:val="1"/>
    <w:qFormat/>
    <w:uiPriority w:val="0"/>
    <w:rPr>
      <w:rFonts w:ascii="Tahoma" w:hAnsi="Tahoma"/>
      <w:sz w:val="24"/>
    </w:rPr>
  </w:style>
  <w:style w:type="paragraph" w:customStyle="1" w:styleId="22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rPr>
  </w:style>
  <w:style w:type="paragraph" w:customStyle="1" w:styleId="22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222">
    <w:name w:val="xl3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kern w:val="0"/>
      <w:sz w:val="24"/>
    </w:rPr>
  </w:style>
  <w:style w:type="paragraph" w:customStyle="1" w:styleId="223">
    <w:name w:val="xl3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hint="eastAsia" w:ascii="楷体_GB2312" w:hAnsi="宋体" w:eastAsia="楷体_GB2312"/>
      <w:kern w:val="0"/>
      <w:sz w:val="24"/>
    </w:rPr>
  </w:style>
  <w:style w:type="paragraph" w:customStyle="1" w:styleId="224">
    <w:name w:val="D标2"/>
    <w:basedOn w:val="3"/>
    <w:qFormat/>
    <w:uiPriority w:val="0"/>
    <w:pPr>
      <w:keepLines w:val="0"/>
      <w:widowControl/>
      <w:tabs>
        <w:tab w:val="left" w:pos="425"/>
      </w:tabs>
      <w:autoSpaceDE w:val="0"/>
      <w:autoSpaceDN w:val="0"/>
      <w:adjustRightInd w:val="0"/>
      <w:spacing w:before="360" w:after="0" w:line="480" w:lineRule="exact"/>
      <w:ind w:left="425" w:hanging="425"/>
      <w:jc w:val="left"/>
    </w:pPr>
    <w:rPr>
      <w:rFonts w:ascii="黑体" w:hAnsi="Times New Roman"/>
      <w:kern w:val="0"/>
      <w:sz w:val="24"/>
    </w:rPr>
  </w:style>
  <w:style w:type="paragraph" w:customStyle="1" w:styleId="225">
    <w:name w:val="xl82"/>
    <w:basedOn w:val="1"/>
    <w:qFormat/>
    <w:uiPriority w:val="0"/>
    <w:pPr>
      <w:widowControl/>
      <w:spacing w:before="100" w:beforeAutospacing="1" w:after="100" w:afterAutospacing="1"/>
      <w:jc w:val="left"/>
      <w:textAlignment w:val="center"/>
    </w:pPr>
    <w:rPr>
      <w:rFonts w:ascii="宋体" w:hAnsi="宋体" w:cs="宋体"/>
      <w:color w:val="FF0000"/>
      <w:kern w:val="0"/>
      <w:sz w:val="20"/>
    </w:rPr>
  </w:style>
  <w:style w:type="paragraph" w:customStyle="1" w:styleId="226">
    <w:name w:val="文档正文"/>
    <w:basedOn w:val="1"/>
    <w:qFormat/>
    <w:uiPriority w:val="0"/>
    <w:pPr>
      <w:spacing w:line="360" w:lineRule="auto"/>
    </w:pPr>
    <w:rPr>
      <w:rFonts w:ascii="宋体" w:hAnsi="宋体" w:cs="Arial"/>
      <w:bCs/>
      <w:szCs w:val="21"/>
      <w:lang w:val="en-GB"/>
    </w:rPr>
  </w:style>
  <w:style w:type="paragraph" w:customStyle="1" w:styleId="227">
    <w:name w:val="Char Char3"/>
    <w:basedOn w:val="1"/>
    <w:qFormat/>
    <w:uiPriority w:val="0"/>
    <w:pPr>
      <w:widowControl/>
      <w:spacing w:after="160" w:line="240" w:lineRule="exact"/>
      <w:jc w:val="left"/>
    </w:pPr>
    <w:rPr>
      <w:rFonts w:ascii="Calibri" w:hAnsi="Calibri"/>
      <w:szCs w:val="22"/>
    </w:rPr>
  </w:style>
  <w:style w:type="paragraph" w:customStyle="1" w:styleId="228">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000000"/>
      <w:kern w:val="0"/>
      <w:sz w:val="20"/>
    </w:rPr>
  </w:style>
  <w:style w:type="paragraph" w:customStyle="1" w:styleId="229">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cs="宋体"/>
      <w:color w:val="000000"/>
      <w:kern w:val="0"/>
      <w:sz w:val="20"/>
    </w:rPr>
  </w:style>
  <w:style w:type="paragraph" w:customStyle="1" w:styleId="230">
    <w:name w:val="表"/>
    <w:basedOn w:val="1"/>
    <w:qFormat/>
    <w:uiPriority w:val="0"/>
    <w:pPr>
      <w:jc w:val="center"/>
    </w:pPr>
    <w:rPr>
      <w:rFonts w:ascii="宋体" w:hAnsi="宋体"/>
      <w:sz w:val="24"/>
    </w:rPr>
  </w:style>
  <w:style w:type="paragraph" w:customStyle="1" w:styleId="231">
    <w:name w:val="Char Char1"/>
    <w:basedOn w:val="1"/>
    <w:qFormat/>
    <w:uiPriority w:val="0"/>
    <w:pPr>
      <w:widowControl/>
      <w:spacing w:after="160" w:line="240" w:lineRule="exact"/>
      <w:jc w:val="left"/>
    </w:pPr>
    <w:rPr>
      <w:rFonts w:ascii="Verdana" w:hAnsi="Verdana" w:eastAsia="楷体_GB2312"/>
      <w:b/>
      <w:i/>
      <w:iCs/>
      <w:color w:val="000000"/>
      <w:kern w:val="0"/>
      <w:sz w:val="20"/>
      <w:lang w:eastAsia="en-US"/>
    </w:rPr>
  </w:style>
  <w:style w:type="paragraph" w:customStyle="1" w:styleId="232">
    <w:name w:val="正文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33">
    <w:name w:val="Default New"/>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 w:type="paragraph" w:customStyle="1" w:styleId="234">
    <w:name w:val="正文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5">
    <w:name w:val="列出段落1"/>
    <w:basedOn w:val="1"/>
    <w:qFormat/>
    <w:uiPriority w:val="0"/>
    <w:pPr>
      <w:spacing w:line="240" w:lineRule="auto"/>
      <w:ind w:firstLine="420" w:firstLineChars="200"/>
    </w:pPr>
    <w:rPr>
      <w:rFonts w:ascii="Calibri" w:hAnsi="Calibri"/>
      <w:szCs w:val="22"/>
    </w:rPr>
  </w:style>
  <w:style w:type="character" w:customStyle="1" w:styleId="236">
    <w:name w:val="纯文本 Char3"/>
    <w:qFormat/>
    <w:uiPriority w:val="0"/>
    <w:rPr>
      <w:rFonts w:hint="eastAsia" w:ascii="宋体" w:hAnsi="Courier New" w:eastAsia="宋体" w:cs="Courier New"/>
      <w:kern w:val="2"/>
      <w:sz w:val="21"/>
      <w:szCs w:val="21"/>
      <w:lang w:val="en-US" w:eastAsia="zh-CN" w:bidi="ar-SA"/>
    </w:rPr>
  </w:style>
  <w:style w:type="paragraph" w:customStyle="1" w:styleId="237">
    <w:name w:val="正文 + 宋体"/>
    <w:basedOn w:val="40"/>
    <w:qFormat/>
    <w:uiPriority w:val="0"/>
    <w:pPr>
      <w:spacing w:beforeLines="50" w:beforeAutospacing="0" w:after="0" w:afterAutospacing="0" w:line="400" w:lineRule="exact"/>
      <w:ind w:firstLine="0"/>
      <w:jc w:val="center"/>
    </w:pPr>
    <w:rPr>
      <w:rFonts w:cs="宋体"/>
      <w:b/>
      <w:sz w:val="28"/>
      <w:szCs w:val="28"/>
    </w:rPr>
  </w:style>
  <w:style w:type="paragraph" w:customStyle="1" w:styleId="238">
    <w:name w:val="TOC 标题11"/>
    <w:basedOn w:val="2"/>
    <w:next w:val="1"/>
    <w:qFormat/>
    <w:uiPriority w:val="0"/>
    <w:pPr>
      <w:pageBreakBefore/>
      <w:widowControl/>
      <w:spacing w:before="120" w:after="0" w:line="276" w:lineRule="auto"/>
      <w:ind w:left="3680" w:hanging="425"/>
      <w:jc w:val="left"/>
    </w:pPr>
    <w:rPr>
      <w:rFonts w:ascii="Cambria" w:hAnsi="Cambria" w:eastAsia="宋体"/>
      <w:bCs/>
      <w:kern w:val="0"/>
      <w:sz w:val="28"/>
      <w:szCs w:val="28"/>
    </w:rPr>
  </w:style>
  <w:style w:type="paragraph" w:customStyle="1" w:styleId="239">
    <w:name w:val="修订11"/>
    <w:qFormat/>
    <w:uiPriority w:val="0"/>
    <w:rPr>
      <w:rFonts w:ascii="Calibri" w:hAnsi="Calibri" w:eastAsia="宋体" w:cs="Times New Roman"/>
      <w:kern w:val="2"/>
      <w:sz w:val="24"/>
      <w:szCs w:val="22"/>
      <w:lang w:val="en-US" w:eastAsia="zh-CN" w:bidi="ar-SA"/>
    </w:rPr>
  </w:style>
  <w:style w:type="paragraph" w:customStyle="1" w:styleId="240">
    <w:name w:val="Char Char Char Char1"/>
    <w:basedOn w:val="1"/>
    <w:qFormat/>
    <w:uiPriority w:val="0"/>
    <w:pPr>
      <w:widowControl/>
      <w:spacing w:after="160" w:line="240" w:lineRule="exact"/>
      <w:jc w:val="left"/>
    </w:pPr>
    <w:rPr>
      <w:rFonts w:ascii="Verdana" w:hAnsi="Verdana"/>
      <w:kern w:val="0"/>
      <w:lang w:eastAsia="en-US"/>
    </w:rPr>
  </w:style>
  <w:style w:type="paragraph" w:customStyle="1" w:styleId="241">
    <w:name w:val="Char2"/>
    <w:basedOn w:val="1"/>
    <w:qFormat/>
    <w:uiPriority w:val="0"/>
    <w:pPr>
      <w:spacing w:line="240" w:lineRule="auto"/>
    </w:pPr>
  </w:style>
  <w:style w:type="paragraph" w:customStyle="1" w:styleId="242">
    <w:name w:val="Char Char Char Char Char Char1"/>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3">
    <w:name w:val="Char Char Char1"/>
    <w:basedOn w:val="1"/>
    <w:qFormat/>
    <w:uiPriority w:val="0"/>
    <w:pPr>
      <w:spacing w:line="240" w:lineRule="auto"/>
    </w:pPr>
    <w:rPr>
      <w:szCs w:val="24"/>
    </w:rPr>
  </w:style>
  <w:style w:type="paragraph" w:customStyle="1" w:styleId="244">
    <w:name w:val="Char Char2 Char"/>
    <w:basedOn w:val="1"/>
    <w:qFormat/>
    <w:uiPriority w:val="0"/>
    <w:pPr>
      <w:spacing w:line="240" w:lineRule="auto"/>
    </w:pPr>
    <w:rPr>
      <w:kern w:val="0"/>
    </w:rPr>
  </w:style>
  <w:style w:type="paragraph" w:customStyle="1" w:styleId="245">
    <w:name w:val="表头"/>
    <w:basedOn w:val="13"/>
    <w:qFormat/>
    <w:uiPriority w:val="0"/>
    <w:pPr>
      <w:keepNext/>
      <w:keepLines/>
      <w:widowControl/>
      <w:spacing w:before="120" w:after="120" w:line="300" w:lineRule="auto"/>
      <w:jc w:val="center"/>
    </w:pPr>
    <w:rPr>
      <w:sz w:val="21"/>
    </w:rPr>
  </w:style>
  <w:style w:type="paragraph" w:customStyle="1" w:styleId="246">
    <w:name w:val="Blockquote"/>
    <w:basedOn w:val="1"/>
    <w:qFormat/>
    <w:uiPriority w:val="0"/>
    <w:pPr>
      <w:autoSpaceDE w:val="0"/>
      <w:autoSpaceDN w:val="0"/>
      <w:adjustRightInd w:val="0"/>
      <w:spacing w:before="100" w:after="100" w:line="240" w:lineRule="auto"/>
      <w:ind w:left="360" w:right="360"/>
      <w:jc w:val="left"/>
    </w:pPr>
    <w:rPr>
      <w:kern w:val="0"/>
      <w:sz w:val="24"/>
    </w:rPr>
  </w:style>
  <w:style w:type="paragraph" w:customStyle="1" w:styleId="247">
    <w:name w:val="大标题"/>
    <w:basedOn w:val="2"/>
    <w:qFormat/>
    <w:uiPriority w:val="0"/>
    <w:pPr>
      <w:keepLines w:val="0"/>
      <w:pageBreakBefore/>
      <w:spacing w:before="0" w:after="0" w:line="360" w:lineRule="auto"/>
      <w:ind w:left="0"/>
      <w:jc w:val="center"/>
    </w:pPr>
    <w:rPr>
      <w:rFonts w:ascii="宋体" w:hAnsi="Arial" w:eastAsia="宋体" w:cs="Arial"/>
      <w:bCs/>
      <w:snapToGrid w:val="0"/>
      <w:kern w:val="0"/>
      <w:sz w:val="52"/>
      <w:szCs w:val="72"/>
    </w:rPr>
  </w:style>
  <w:style w:type="paragraph" w:customStyle="1" w:styleId="248">
    <w:name w:val="元正正文标题2"/>
    <w:basedOn w:val="6"/>
    <w:qFormat/>
    <w:uiPriority w:val="0"/>
    <w:pPr>
      <w:adjustRightInd w:val="0"/>
      <w:snapToGrid w:val="0"/>
      <w:spacing w:line="300" w:lineRule="auto"/>
      <w:jc w:val="center"/>
      <w:outlineLvl w:val="9"/>
    </w:pPr>
    <w:rPr>
      <w:b/>
      <w:sz w:val="30"/>
      <w:szCs w:val="24"/>
    </w:rPr>
  </w:style>
  <w:style w:type="paragraph" w:customStyle="1" w:styleId="249">
    <w:name w:val="正文文本缩进1"/>
    <w:basedOn w:val="1"/>
    <w:qFormat/>
    <w:uiPriority w:val="0"/>
    <w:pPr>
      <w:spacing w:line="240" w:lineRule="auto"/>
      <w:ind w:firstLine="360"/>
    </w:pPr>
    <w:rPr>
      <w:rFonts w:ascii="Arial" w:hAnsi="Arial"/>
      <w:szCs w:val="24"/>
    </w:rPr>
  </w:style>
  <w:style w:type="paragraph" w:customStyle="1" w:styleId="250">
    <w:name w:val="_Style 50"/>
    <w:basedOn w:val="1"/>
    <w:next w:val="17"/>
    <w:qFormat/>
    <w:uiPriority w:val="0"/>
    <w:pPr>
      <w:spacing w:line="360" w:lineRule="auto"/>
    </w:pPr>
    <w:rPr>
      <w:sz w:val="24"/>
    </w:rPr>
  </w:style>
  <w:style w:type="paragraph" w:customStyle="1" w:styleId="251">
    <w:name w:val="p0"/>
    <w:basedOn w:val="1"/>
    <w:qFormat/>
    <w:uiPriority w:val="0"/>
    <w:pPr>
      <w:widowControl/>
      <w:spacing w:line="240" w:lineRule="auto"/>
    </w:pPr>
    <w:rPr>
      <w:kern w:val="0"/>
      <w:szCs w:val="21"/>
    </w:rPr>
  </w:style>
  <w:style w:type="paragraph" w:customStyle="1" w:styleId="252">
    <w:name w:val="Char Char1 Char Char Char Char Char Char Char Char Char Char"/>
    <w:basedOn w:val="1"/>
    <w:qFormat/>
    <w:uiPriority w:val="0"/>
    <w:pPr>
      <w:spacing w:line="240" w:lineRule="auto"/>
    </w:pPr>
    <w:rPr>
      <w:rFonts w:ascii="Tahoma" w:hAnsi="Tahoma"/>
      <w:sz w:val="24"/>
    </w:rPr>
  </w:style>
  <w:style w:type="character" w:customStyle="1" w:styleId="253">
    <w:name w:val="！正文 Char"/>
    <w:qFormat/>
    <w:uiPriority w:val="0"/>
    <w:rPr>
      <w:rFonts w:ascii="宋体" w:hAnsi="宋体"/>
      <w:color w:val="000000"/>
      <w:kern w:val="2"/>
      <w:sz w:val="24"/>
      <w:szCs w:val="24"/>
    </w:rPr>
  </w:style>
  <w:style w:type="character" w:customStyle="1" w:styleId="254">
    <w:name w:val="标题 3.1 Char"/>
    <w:qFormat/>
    <w:uiPriority w:val="0"/>
    <w:rPr>
      <w:rFonts w:ascii="宋体" w:hAnsi="宋体"/>
      <w:b/>
      <w:bCs/>
      <w:kern w:val="2"/>
      <w:sz w:val="24"/>
      <w:szCs w:val="28"/>
    </w:rPr>
  </w:style>
  <w:style w:type="character" w:customStyle="1" w:styleId="255">
    <w:name w:val="Char Char"/>
    <w:qFormat/>
    <w:uiPriority w:val="0"/>
    <w:rPr>
      <w:rFonts w:ascii="宋体" w:hAnsi="Courier New" w:eastAsia="宋体"/>
      <w:kern w:val="2"/>
      <w:sz w:val="21"/>
      <w:lang w:val="en-US" w:eastAsia="zh-CN"/>
    </w:rPr>
  </w:style>
  <w:style w:type="character" w:customStyle="1" w:styleId="256">
    <w:name w:val="正文缩进2格 Char"/>
    <w:qFormat/>
    <w:uiPriority w:val="0"/>
    <w:rPr>
      <w:rFonts w:ascii="仿宋_GB2312" w:hAnsi="宋体" w:eastAsia="仿宋_GB2312"/>
      <w:kern w:val="2"/>
      <w:sz w:val="31"/>
      <w:szCs w:val="28"/>
    </w:rPr>
  </w:style>
  <w:style w:type="character" w:customStyle="1" w:styleId="257">
    <w:name w:val="标题11"/>
    <w:basedOn w:val="46"/>
    <w:qFormat/>
    <w:uiPriority w:val="0"/>
  </w:style>
  <w:style w:type="character" w:customStyle="1" w:styleId="258">
    <w:name w:val="weby11"/>
    <w:qFormat/>
    <w:uiPriority w:val="0"/>
    <w:rPr>
      <w:sz w:val="18"/>
      <w:szCs w:val="18"/>
    </w:rPr>
  </w:style>
  <w:style w:type="paragraph" w:customStyle="1" w:styleId="259">
    <w:name w:val="列出段落2"/>
    <w:basedOn w:val="1"/>
    <w:qFormat/>
    <w:uiPriority w:val="34"/>
    <w:pPr>
      <w:spacing w:line="240" w:lineRule="auto"/>
      <w:ind w:firstLine="420" w:firstLineChars="200"/>
    </w:pPr>
    <w:rPr>
      <w:szCs w:val="22"/>
    </w:rPr>
  </w:style>
  <w:style w:type="paragraph" w:customStyle="1" w:styleId="26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61">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62">
    <w:name w:val="font7"/>
    <w:basedOn w:val="1"/>
    <w:qFormat/>
    <w:uiPriority w:val="0"/>
    <w:pPr>
      <w:widowControl/>
      <w:spacing w:before="100" w:beforeAutospacing="1" w:after="100" w:afterAutospacing="1" w:line="240" w:lineRule="auto"/>
      <w:jc w:val="left"/>
    </w:pPr>
    <w:rPr>
      <w:color w:val="000000"/>
      <w:kern w:val="0"/>
      <w:sz w:val="22"/>
      <w:szCs w:val="22"/>
    </w:rPr>
  </w:style>
  <w:style w:type="paragraph" w:customStyle="1" w:styleId="263">
    <w:name w:val="font8"/>
    <w:basedOn w:val="1"/>
    <w:qFormat/>
    <w:uiPriority w:val="0"/>
    <w:pPr>
      <w:widowControl/>
      <w:spacing w:before="100" w:beforeAutospacing="1" w:after="100" w:afterAutospacing="1" w:line="240" w:lineRule="auto"/>
      <w:jc w:val="left"/>
    </w:pPr>
    <w:rPr>
      <w:rFonts w:ascii="宋体" w:hAnsi="宋体" w:cs="宋体"/>
      <w:color w:val="000000"/>
      <w:kern w:val="0"/>
      <w:szCs w:val="21"/>
    </w:rPr>
  </w:style>
  <w:style w:type="paragraph" w:customStyle="1" w:styleId="264">
    <w:name w:val="font9"/>
    <w:basedOn w:val="1"/>
    <w:qFormat/>
    <w:uiPriority w:val="0"/>
    <w:pPr>
      <w:widowControl/>
      <w:spacing w:before="100" w:beforeAutospacing="1" w:after="100" w:afterAutospacing="1" w:line="240" w:lineRule="auto"/>
      <w:jc w:val="left"/>
    </w:pPr>
    <w:rPr>
      <w:color w:val="000000"/>
      <w:kern w:val="0"/>
      <w:szCs w:val="21"/>
    </w:rPr>
  </w:style>
  <w:style w:type="paragraph" w:customStyle="1" w:styleId="265">
    <w:name w:val="font10"/>
    <w:basedOn w:val="1"/>
    <w:qFormat/>
    <w:uiPriority w:val="0"/>
    <w:pPr>
      <w:widowControl/>
      <w:spacing w:before="100" w:beforeAutospacing="1" w:after="100" w:afterAutospacing="1" w:line="240" w:lineRule="auto"/>
      <w:jc w:val="left"/>
    </w:pPr>
    <w:rPr>
      <w:rFonts w:ascii="Arial" w:hAnsi="Arial" w:cs="Arial"/>
      <w:color w:val="000000"/>
      <w:kern w:val="0"/>
      <w:sz w:val="22"/>
      <w:szCs w:val="22"/>
    </w:rPr>
  </w:style>
  <w:style w:type="paragraph" w:customStyle="1" w:styleId="266">
    <w:name w:val="xl6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line="240" w:lineRule="auto"/>
      <w:jc w:val="center"/>
    </w:pPr>
    <w:rPr>
      <w:rFonts w:ascii="宋体" w:hAnsi="宋体" w:cs="宋体"/>
      <w:color w:val="000000"/>
      <w:kern w:val="0"/>
      <w:sz w:val="24"/>
      <w:szCs w:val="24"/>
    </w:rPr>
  </w:style>
  <w:style w:type="paragraph" w:customStyle="1" w:styleId="267">
    <w:name w:val="xl64"/>
    <w:basedOn w:val="1"/>
    <w:qFormat/>
    <w:uiPriority w:val="0"/>
    <w:pPr>
      <w:widowControl/>
      <w:pBdr>
        <w:top w:val="single" w:color="auto" w:sz="8" w:space="0"/>
        <w:bottom w:val="single" w:color="auto" w:sz="8" w:space="0"/>
        <w:right w:val="single" w:color="auto" w:sz="8" w:space="0"/>
      </w:pBdr>
      <w:spacing w:before="100" w:beforeAutospacing="1" w:after="100" w:afterAutospacing="1" w:line="240" w:lineRule="auto"/>
      <w:jc w:val="center"/>
    </w:pPr>
    <w:rPr>
      <w:rFonts w:ascii="宋体" w:hAnsi="宋体" w:cs="宋体"/>
      <w:color w:val="000000"/>
      <w:kern w:val="0"/>
      <w:sz w:val="24"/>
      <w:szCs w:val="24"/>
    </w:rPr>
  </w:style>
  <w:style w:type="paragraph" w:customStyle="1" w:styleId="268">
    <w:name w:val="xl65"/>
    <w:basedOn w:val="1"/>
    <w:qFormat/>
    <w:uiPriority w:val="0"/>
    <w:pPr>
      <w:widowControl/>
      <w:pBdr>
        <w:top w:val="single" w:color="auto" w:sz="8" w:space="0"/>
        <w:bottom w:val="single" w:color="auto" w:sz="8" w:space="0"/>
        <w:right w:val="single" w:color="auto" w:sz="8" w:space="0"/>
      </w:pBdr>
      <w:spacing w:before="100" w:beforeAutospacing="1" w:after="100" w:afterAutospacing="1" w:line="240" w:lineRule="auto"/>
      <w:jc w:val="center"/>
    </w:pPr>
    <w:rPr>
      <w:rFonts w:ascii="宋体" w:hAnsi="宋体" w:cs="宋体"/>
      <w:color w:val="000000"/>
      <w:kern w:val="0"/>
      <w:sz w:val="24"/>
      <w:szCs w:val="24"/>
    </w:rPr>
  </w:style>
  <w:style w:type="paragraph" w:customStyle="1" w:styleId="269">
    <w:name w:val="xl66"/>
    <w:basedOn w:val="1"/>
    <w:qFormat/>
    <w:uiPriority w:val="0"/>
    <w:pPr>
      <w:widowControl/>
      <w:pBdr>
        <w:top w:val="single" w:color="auto" w:sz="8" w:space="0"/>
        <w:bottom w:val="single" w:color="auto" w:sz="8" w:space="0"/>
        <w:right w:val="single" w:color="auto" w:sz="8" w:space="0"/>
      </w:pBdr>
      <w:spacing w:before="100" w:beforeAutospacing="1" w:after="100" w:afterAutospacing="1" w:line="240" w:lineRule="auto"/>
      <w:jc w:val="center"/>
    </w:pPr>
    <w:rPr>
      <w:rFonts w:ascii="宋体" w:hAnsi="宋体" w:cs="宋体"/>
      <w:color w:val="000000"/>
      <w:kern w:val="0"/>
      <w:szCs w:val="21"/>
    </w:rPr>
  </w:style>
  <w:style w:type="paragraph" w:customStyle="1" w:styleId="270">
    <w:name w:val="xl67"/>
    <w:basedOn w:val="1"/>
    <w:qFormat/>
    <w:uiPriority w:val="0"/>
    <w:pPr>
      <w:widowControl/>
      <w:pBdr>
        <w:left w:val="single" w:color="auto" w:sz="8" w:space="0"/>
        <w:bottom w:val="single" w:color="auto" w:sz="8" w:space="0"/>
        <w:right w:val="single" w:color="auto" w:sz="8" w:space="0"/>
      </w:pBdr>
      <w:spacing w:before="100" w:beforeAutospacing="1" w:after="100" w:afterAutospacing="1" w:line="240" w:lineRule="auto"/>
      <w:jc w:val="center"/>
    </w:pPr>
    <w:rPr>
      <w:color w:val="000000"/>
      <w:kern w:val="0"/>
      <w:szCs w:val="21"/>
    </w:rPr>
  </w:style>
  <w:style w:type="paragraph" w:customStyle="1" w:styleId="271">
    <w:name w:val="xl68"/>
    <w:basedOn w:val="1"/>
    <w:qFormat/>
    <w:uiPriority w:val="0"/>
    <w:pPr>
      <w:widowControl/>
      <w:pBdr>
        <w:bottom w:val="single" w:color="auto" w:sz="8" w:space="0"/>
        <w:right w:val="single" w:color="auto" w:sz="8" w:space="0"/>
      </w:pBdr>
      <w:spacing w:before="100" w:beforeAutospacing="1" w:after="100" w:afterAutospacing="1" w:line="240" w:lineRule="auto"/>
      <w:jc w:val="center"/>
    </w:pPr>
    <w:rPr>
      <w:rFonts w:ascii="宋体" w:hAnsi="宋体" w:cs="宋体"/>
      <w:color w:val="000000"/>
      <w:kern w:val="0"/>
      <w:sz w:val="24"/>
      <w:szCs w:val="24"/>
    </w:rPr>
  </w:style>
  <w:style w:type="paragraph" w:customStyle="1" w:styleId="272">
    <w:name w:val="xl69"/>
    <w:basedOn w:val="1"/>
    <w:qFormat/>
    <w:uiPriority w:val="0"/>
    <w:pPr>
      <w:widowControl/>
      <w:pBdr>
        <w:bottom w:val="single" w:color="auto" w:sz="8" w:space="0"/>
        <w:right w:val="single" w:color="auto" w:sz="8" w:space="0"/>
      </w:pBdr>
      <w:spacing w:before="100" w:beforeAutospacing="1" w:after="100" w:afterAutospacing="1" w:line="240" w:lineRule="auto"/>
      <w:jc w:val="center"/>
    </w:pPr>
    <w:rPr>
      <w:color w:val="000000"/>
      <w:kern w:val="0"/>
      <w:sz w:val="24"/>
      <w:szCs w:val="24"/>
    </w:rPr>
  </w:style>
  <w:style w:type="paragraph" w:customStyle="1" w:styleId="273">
    <w:name w:val="xl70"/>
    <w:basedOn w:val="1"/>
    <w:qFormat/>
    <w:uiPriority w:val="0"/>
    <w:pPr>
      <w:widowControl/>
      <w:pBdr>
        <w:bottom w:val="single" w:color="auto" w:sz="8" w:space="0"/>
        <w:right w:val="single" w:color="auto" w:sz="8" w:space="0"/>
      </w:pBdr>
      <w:spacing w:before="100" w:beforeAutospacing="1" w:after="100" w:afterAutospacing="1" w:line="240" w:lineRule="auto"/>
      <w:jc w:val="center"/>
    </w:pPr>
    <w:rPr>
      <w:rFonts w:ascii="宋体" w:hAnsi="宋体" w:cs="宋体"/>
      <w:color w:val="000000"/>
      <w:kern w:val="0"/>
      <w:sz w:val="24"/>
      <w:szCs w:val="24"/>
    </w:rPr>
  </w:style>
  <w:style w:type="paragraph" w:customStyle="1" w:styleId="274">
    <w:name w:val="xl71"/>
    <w:basedOn w:val="1"/>
    <w:qFormat/>
    <w:uiPriority w:val="0"/>
    <w:pPr>
      <w:widowControl/>
      <w:pBdr>
        <w:bottom w:val="single" w:color="auto" w:sz="8" w:space="0"/>
        <w:right w:val="single" w:color="auto" w:sz="8" w:space="0"/>
      </w:pBdr>
      <w:spacing w:before="100" w:beforeAutospacing="1" w:after="100" w:afterAutospacing="1" w:line="240" w:lineRule="auto"/>
      <w:jc w:val="center"/>
    </w:pPr>
    <w:rPr>
      <w:color w:val="000000"/>
      <w:kern w:val="0"/>
      <w:sz w:val="24"/>
      <w:szCs w:val="24"/>
    </w:rPr>
  </w:style>
  <w:style w:type="paragraph" w:customStyle="1" w:styleId="275">
    <w:name w:val="xl72"/>
    <w:basedOn w:val="1"/>
    <w:qFormat/>
    <w:uiPriority w:val="0"/>
    <w:pPr>
      <w:widowControl/>
      <w:pBdr>
        <w:bottom w:val="single" w:color="auto" w:sz="8" w:space="0"/>
        <w:right w:val="single" w:color="auto" w:sz="8" w:space="0"/>
      </w:pBdr>
      <w:spacing w:before="100" w:beforeAutospacing="1" w:after="100" w:afterAutospacing="1" w:line="240" w:lineRule="auto"/>
      <w:jc w:val="center"/>
    </w:pPr>
    <w:rPr>
      <w:color w:val="000000"/>
      <w:kern w:val="0"/>
      <w:szCs w:val="21"/>
    </w:rPr>
  </w:style>
  <w:style w:type="paragraph" w:customStyle="1" w:styleId="276">
    <w:name w:val="xl73"/>
    <w:basedOn w:val="1"/>
    <w:qFormat/>
    <w:uiPriority w:val="0"/>
    <w:pPr>
      <w:widowControl/>
      <w:pBdr>
        <w:bottom w:val="single" w:color="auto" w:sz="8" w:space="0"/>
        <w:right w:val="single" w:color="auto" w:sz="8" w:space="0"/>
      </w:pBdr>
      <w:spacing w:before="100" w:beforeAutospacing="1" w:after="100" w:afterAutospacing="1" w:line="240" w:lineRule="auto"/>
      <w:jc w:val="center"/>
    </w:pPr>
    <w:rPr>
      <w:rFonts w:ascii="宋体" w:hAnsi="宋体" w:cs="宋体"/>
      <w:color w:val="000000"/>
      <w:kern w:val="0"/>
      <w:szCs w:val="21"/>
    </w:rPr>
  </w:style>
  <w:style w:type="paragraph" w:customStyle="1" w:styleId="277">
    <w:name w:val="列出段落3"/>
    <w:basedOn w:val="1"/>
    <w:qFormat/>
    <w:uiPriority w:val="34"/>
    <w:pPr>
      <w:spacing w:line="240" w:lineRule="auto"/>
      <w:ind w:firstLine="420" w:firstLineChars="200"/>
    </w:pPr>
    <w:rPr>
      <w:szCs w:val="22"/>
    </w:rPr>
  </w:style>
  <w:style w:type="paragraph" w:customStyle="1" w:styleId="278">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279">
    <w:name w:val="font61"/>
    <w:qFormat/>
    <w:uiPriority w:val="99"/>
    <w:rPr>
      <w:rFonts w:ascii="宋体" w:hAnsi="宋体" w:eastAsia="宋体"/>
      <w:color w:val="000000"/>
      <w:sz w:val="24"/>
      <w:u w:val="none"/>
    </w:rPr>
  </w:style>
  <w:style w:type="character" w:customStyle="1" w:styleId="280">
    <w:name w:val="font21"/>
    <w:qFormat/>
    <w:uiPriority w:val="99"/>
    <w:rPr>
      <w:rFonts w:ascii="宋体" w:hAnsi="宋体" w:eastAsia="宋体"/>
      <w:color w:val="000000"/>
      <w:sz w:val="21"/>
      <w:u w:val="none"/>
    </w:rPr>
  </w:style>
  <w:style w:type="character" w:customStyle="1" w:styleId="281">
    <w:name w:val="font01"/>
    <w:qFormat/>
    <w:uiPriority w:val="99"/>
    <w:rPr>
      <w:rFonts w:ascii="宋体" w:hAnsi="宋体" w:eastAsia="宋体"/>
      <w:color w:val="000000"/>
      <w:sz w:val="24"/>
      <w:u w:val="none"/>
    </w:rPr>
  </w:style>
  <w:style w:type="character" w:customStyle="1" w:styleId="282">
    <w:name w:val="font111"/>
    <w:qFormat/>
    <w:uiPriority w:val="99"/>
    <w:rPr>
      <w:rFonts w:ascii="宋体" w:hAnsi="宋体" w:eastAsia="宋体"/>
      <w:color w:val="FF6600"/>
      <w:sz w:val="21"/>
      <w:u w:val="none"/>
    </w:rPr>
  </w:style>
  <w:style w:type="character" w:customStyle="1" w:styleId="283">
    <w:name w:val="font31"/>
    <w:qFormat/>
    <w:uiPriority w:val="99"/>
    <w:rPr>
      <w:rFonts w:ascii="宋体" w:hAnsi="宋体" w:eastAsia="宋体"/>
      <w:color w:val="FF6600"/>
      <w:sz w:val="21"/>
      <w:u w:val="none"/>
    </w:rPr>
  </w:style>
  <w:style w:type="character" w:customStyle="1" w:styleId="284">
    <w:name w:val="font81"/>
    <w:qFormat/>
    <w:uiPriority w:val="99"/>
    <w:rPr>
      <w:rFonts w:ascii="宋体" w:hAnsi="宋体" w:eastAsia="宋体"/>
      <w:color w:val="000000"/>
      <w:sz w:val="21"/>
      <w:u w:val="none"/>
    </w:rPr>
  </w:style>
  <w:style w:type="character" w:customStyle="1" w:styleId="285">
    <w:name w:val="font11"/>
    <w:qFormat/>
    <w:uiPriority w:val="99"/>
    <w:rPr>
      <w:rFonts w:ascii="宋体" w:hAnsi="宋体" w:eastAsia="宋体"/>
      <w:color w:val="000000"/>
      <w:sz w:val="24"/>
      <w:u w:val="none"/>
    </w:rPr>
  </w:style>
  <w:style w:type="character" w:customStyle="1" w:styleId="286">
    <w:name w:val="font101"/>
    <w:qFormat/>
    <w:uiPriority w:val="99"/>
    <w:rPr>
      <w:rFonts w:ascii="宋体" w:hAnsi="宋体" w:eastAsia="宋体"/>
      <w:color w:val="000000"/>
      <w:sz w:val="21"/>
      <w:u w:val="none"/>
      <w:vertAlign w:val="superscript"/>
    </w:rPr>
  </w:style>
  <w:style w:type="character" w:customStyle="1" w:styleId="287">
    <w:name w:val="font41"/>
    <w:qFormat/>
    <w:uiPriority w:val="99"/>
    <w:rPr>
      <w:rFonts w:ascii="宋体" w:hAnsi="宋体" w:eastAsia="宋体"/>
      <w:color w:val="000000"/>
      <w:sz w:val="24"/>
      <w:u w:val="none"/>
    </w:rPr>
  </w:style>
  <w:style w:type="character" w:customStyle="1" w:styleId="288">
    <w:name w:val="font71"/>
    <w:qFormat/>
    <w:uiPriority w:val="99"/>
    <w:rPr>
      <w:rFonts w:ascii="宋体" w:hAnsi="宋体" w:eastAsia="宋体"/>
      <w:color w:val="000000"/>
      <w:sz w:val="21"/>
      <w:u w:val="none"/>
    </w:rPr>
  </w:style>
  <w:style w:type="character" w:customStyle="1" w:styleId="289">
    <w:name w:val="font151"/>
    <w:qFormat/>
    <w:uiPriority w:val="99"/>
    <w:rPr>
      <w:rFonts w:ascii="宋体" w:hAnsi="宋体" w:eastAsia="宋体"/>
      <w:color w:val="000000"/>
      <w:sz w:val="22"/>
      <w:u w:val="none"/>
    </w:rPr>
  </w:style>
  <w:style w:type="character" w:customStyle="1" w:styleId="290">
    <w:name w:val="font91"/>
    <w:qFormat/>
    <w:uiPriority w:val="99"/>
    <w:rPr>
      <w:rFonts w:ascii="宋体" w:hAnsi="宋体" w:eastAsia="宋体"/>
      <w:color w:val="FF6600"/>
      <w:sz w:val="21"/>
      <w:u w:val="none"/>
    </w:rPr>
  </w:style>
  <w:style w:type="character" w:customStyle="1" w:styleId="291">
    <w:name w:val="font51"/>
    <w:qFormat/>
    <w:uiPriority w:val="99"/>
    <w:rPr>
      <w:rFonts w:ascii="宋体" w:hAnsi="宋体" w:eastAsia="宋体"/>
      <w:color w:val="000000"/>
      <w:sz w:val="21"/>
      <w:u w:val="none"/>
      <w:vertAlign w:val="superscript"/>
    </w:rPr>
  </w:style>
  <w:style w:type="paragraph" w:customStyle="1" w:styleId="292">
    <w:name w:val="正文_0"/>
    <w:next w:val="5"/>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293">
    <w:name w:val="Table Paragraph"/>
    <w:basedOn w:val="1"/>
    <w:qFormat/>
    <w:uiPriority w:val="1"/>
    <w:pPr>
      <w:spacing w:line="240" w:lineRule="auto"/>
    </w:pPr>
    <w:rPr>
      <w:rFonts w:ascii="宋体" w:hAnsi="宋体" w:cs="宋体"/>
      <w:szCs w:val="22"/>
    </w:rPr>
  </w:style>
  <w:style w:type="table" w:customStyle="1" w:styleId="294">
    <w:name w:val="中等深浅网格 3 - 强调文字颜色 51"/>
    <w:basedOn w:val="44"/>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2EAF1"/>
    </w:tcPr>
    <w:tblStylePr w:type="firstRow">
      <w:rPr>
        <w:b/>
        <w:bCs/>
        <w:i w:val="0"/>
        <w:iCs w:val="0"/>
        <w:color w:val="CCE8CF"/>
      </w:r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4BACC6"/>
      </w:tcPr>
    </w:tblStylePr>
    <w:tblStylePr w:type="lastRow">
      <w:rPr>
        <w:b/>
        <w:bCs/>
        <w:i w:val="0"/>
        <w:iCs w:val="0"/>
        <w:color w:val="CCE8CF"/>
      </w:r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BACC6"/>
      </w:tcPr>
    </w:tblStylePr>
    <w:tblStylePr w:type="firstCol">
      <w:rPr>
        <w:b/>
        <w:bCs/>
        <w:i w:val="0"/>
        <w:iCs w:val="0"/>
        <w:color w:val="CCE8CF"/>
      </w:rPr>
      <w:tcPr>
        <w:tcBorders>
          <w:top w:val="nil"/>
          <w:left w:val="single" w:color="CCE8CF" w:sz="8" w:space="0"/>
          <w:bottom w:val="nil"/>
          <w:right w:val="single" w:color="CCE8CF" w:sz="24" w:space="0"/>
          <w:insideH w:val="nil"/>
          <w:insideV w:val="nil"/>
          <w:tl2br w:val="nil"/>
          <w:tr2bl w:val="nil"/>
        </w:tcBorders>
        <w:shd w:val="clear" w:color="auto" w:fill="4BACC6"/>
      </w:tcPr>
    </w:tblStylePr>
    <w:tblStylePr w:type="lastCol">
      <w:rPr>
        <w:b/>
        <w:bCs/>
        <w:i w:val="0"/>
        <w:iCs w:val="0"/>
        <w:color w:val="CCE8CF"/>
      </w:rPr>
      <w:tcPr>
        <w:tcBorders>
          <w:top w:val="nil"/>
          <w:left w:val="single" w:color="CCE8CF" w:sz="24" w:space="0"/>
          <w:bottom w:val="nil"/>
          <w:right w:val="nil"/>
          <w:insideH w:val="nil"/>
          <w:insideV w:val="nil"/>
          <w:tl2br w:val="nil"/>
          <w:tr2bl w:val="nil"/>
        </w:tcBorders>
        <w:shd w:val="clear" w:color="auto" w:fill="4BACC6"/>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5D5E2"/>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5D5E2"/>
      </w:tcPr>
    </w:tblStylePr>
  </w:style>
  <w:style w:type="table" w:customStyle="1" w:styleId="295">
    <w:name w:val="中等深浅网格 3 - 强调文字颜色 11"/>
    <w:basedOn w:val="44"/>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3DFEE"/>
    </w:tcPr>
    <w:tblStylePr w:type="firstRow">
      <w:rPr>
        <w:b/>
        <w:bCs/>
        <w:i w:val="0"/>
        <w:iCs w:val="0"/>
        <w:color w:val="CCE8CF"/>
      </w:r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4F81BD"/>
      </w:tcPr>
    </w:tblStylePr>
    <w:tblStylePr w:type="lastRow">
      <w:rPr>
        <w:b/>
        <w:bCs/>
        <w:i w:val="0"/>
        <w:iCs w:val="0"/>
        <w:color w:val="CCE8CF"/>
      </w:r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4F81BD"/>
      </w:tcPr>
    </w:tblStylePr>
    <w:tblStylePr w:type="firstCol">
      <w:rPr>
        <w:b/>
        <w:bCs/>
        <w:i w:val="0"/>
        <w:iCs w:val="0"/>
        <w:color w:val="CCE8CF"/>
      </w:rPr>
      <w:tcPr>
        <w:tcBorders>
          <w:top w:val="nil"/>
          <w:left w:val="single" w:color="CCE8CF" w:sz="8" w:space="0"/>
          <w:bottom w:val="nil"/>
          <w:right w:val="single" w:color="CCE8CF" w:sz="24" w:space="0"/>
          <w:insideH w:val="nil"/>
          <w:insideV w:val="nil"/>
          <w:tl2br w:val="nil"/>
          <w:tr2bl w:val="nil"/>
        </w:tcBorders>
        <w:shd w:val="clear" w:color="auto" w:fill="4F81BD"/>
      </w:tcPr>
    </w:tblStylePr>
    <w:tblStylePr w:type="lastCol">
      <w:rPr>
        <w:b/>
        <w:bCs/>
        <w:i w:val="0"/>
        <w:iCs w:val="0"/>
        <w:color w:val="CCE8CF"/>
      </w:rPr>
      <w:tcPr>
        <w:tcBorders>
          <w:top w:val="nil"/>
          <w:left w:val="single" w:color="CCE8CF" w:sz="24" w:space="0"/>
          <w:bottom w:val="nil"/>
          <w:right w:val="nil"/>
          <w:insideH w:val="nil"/>
          <w:insideV w:val="nil"/>
          <w:tl2br w:val="nil"/>
          <w:tr2bl w:val="nil"/>
        </w:tcBorders>
        <w:shd w:val="clear" w:color="auto" w:fill="4F81BD"/>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A7BFDE"/>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A7BFDE"/>
      </w:tcPr>
    </w:tblStylePr>
  </w:style>
  <w:style w:type="table" w:customStyle="1" w:styleId="296">
    <w:name w:val="中等深浅网格 3 - 强调文字颜色 61"/>
    <w:basedOn w:val="44"/>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FDE4D0"/>
    </w:tcPr>
    <w:tblStylePr w:type="firstRow">
      <w:rPr>
        <w:b/>
        <w:bCs/>
        <w:i w:val="0"/>
        <w:iCs w:val="0"/>
        <w:color w:val="CCE8CF"/>
      </w:r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F79646"/>
      </w:tcPr>
    </w:tblStylePr>
    <w:tblStylePr w:type="lastRow">
      <w:rPr>
        <w:b/>
        <w:bCs/>
        <w:i w:val="0"/>
        <w:iCs w:val="0"/>
        <w:color w:val="CCE8CF"/>
      </w:r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F79646"/>
      </w:tcPr>
    </w:tblStylePr>
    <w:tblStylePr w:type="firstCol">
      <w:rPr>
        <w:b/>
        <w:bCs/>
        <w:i w:val="0"/>
        <w:iCs w:val="0"/>
        <w:color w:val="CCE8CF"/>
      </w:rPr>
      <w:tcPr>
        <w:tcBorders>
          <w:top w:val="nil"/>
          <w:left w:val="single" w:color="CCE8CF" w:sz="8" w:space="0"/>
          <w:bottom w:val="nil"/>
          <w:right w:val="single" w:color="CCE8CF" w:sz="24" w:space="0"/>
          <w:insideH w:val="nil"/>
          <w:insideV w:val="nil"/>
          <w:tl2br w:val="nil"/>
          <w:tr2bl w:val="nil"/>
        </w:tcBorders>
        <w:shd w:val="clear" w:color="auto" w:fill="F79646"/>
      </w:tcPr>
    </w:tblStylePr>
    <w:tblStylePr w:type="lastCol">
      <w:rPr>
        <w:b/>
        <w:bCs/>
        <w:i w:val="0"/>
        <w:iCs w:val="0"/>
        <w:color w:val="CCE8CF"/>
      </w:rPr>
      <w:tcPr>
        <w:tcBorders>
          <w:top w:val="nil"/>
          <w:left w:val="single" w:color="CCE8CF" w:sz="24" w:space="0"/>
          <w:bottom w:val="nil"/>
          <w:right w:val="nil"/>
          <w:insideH w:val="nil"/>
          <w:insideV w:val="nil"/>
          <w:tl2br w:val="nil"/>
          <w:tr2bl w:val="nil"/>
        </w:tcBorders>
        <w:shd w:val="clear" w:color="auto" w:fill="F79646"/>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FBCAA2"/>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FBCAA2"/>
      </w:tcPr>
    </w:tblStylePr>
  </w:style>
  <w:style w:type="table" w:customStyle="1" w:styleId="297">
    <w:name w:val="中等深浅网格 3 - 强调文字颜色 41"/>
    <w:basedOn w:val="44"/>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FD8E8"/>
    </w:tcPr>
    <w:tblStylePr w:type="firstRow">
      <w:rPr>
        <w:b/>
        <w:bCs/>
        <w:i w:val="0"/>
        <w:iCs w:val="0"/>
        <w:color w:val="CCE8CF"/>
      </w:r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8064A2"/>
      </w:tcPr>
    </w:tblStylePr>
    <w:tblStylePr w:type="lastRow">
      <w:rPr>
        <w:b/>
        <w:bCs/>
        <w:i w:val="0"/>
        <w:iCs w:val="0"/>
        <w:color w:val="CCE8CF"/>
      </w:r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8064A2"/>
      </w:tcPr>
    </w:tblStylePr>
    <w:tblStylePr w:type="firstCol">
      <w:rPr>
        <w:b/>
        <w:bCs/>
        <w:i w:val="0"/>
        <w:iCs w:val="0"/>
        <w:color w:val="CCE8CF"/>
      </w:rPr>
      <w:tcPr>
        <w:tcBorders>
          <w:top w:val="nil"/>
          <w:left w:val="single" w:color="CCE8CF" w:sz="8" w:space="0"/>
          <w:bottom w:val="nil"/>
          <w:right w:val="single" w:color="CCE8CF" w:sz="24" w:space="0"/>
          <w:insideH w:val="nil"/>
          <w:insideV w:val="nil"/>
          <w:tl2br w:val="nil"/>
          <w:tr2bl w:val="nil"/>
        </w:tcBorders>
        <w:shd w:val="clear" w:color="auto" w:fill="8064A2"/>
      </w:tcPr>
    </w:tblStylePr>
    <w:tblStylePr w:type="lastCol">
      <w:rPr>
        <w:b/>
        <w:bCs/>
        <w:i w:val="0"/>
        <w:iCs w:val="0"/>
        <w:color w:val="CCE8CF"/>
      </w:rPr>
      <w:tcPr>
        <w:tcBorders>
          <w:top w:val="nil"/>
          <w:left w:val="single" w:color="CCE8CF" w:sz="24" w:space="0"/>
          <w:bottom w:val="nil"/>
          <w:right w:val="nil"/>
          <w:insideH w:val="nil"/>
          <w:insideV w:val="nil"/>
          <w:tl2br w:val="nil"/>
          <w:tr2bl w:val="nil"/>
        </w:tcBorders>
        <w:shd w:val="clear" w:color="auto" w:fill="8064A2"/>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BFB1D0"/>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BFB1D0"/>
      </w:tcPr>
    </w:tblStylePr>
  </w:style>
  <w:style w:type="table" w:customStyle="1" w:styleId="298">
    <w:name w:val="中等深浅网格 31"/>
    <w:basedOn w:val="44"/>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C0C0C0"/>
    </w:tcPr>
    <w:tblStylePr w:type="firstRow">
      <w:rPr>
        <w:b/>
        <w:bCs/>
        <w:i w:val="0"/>
        <w:iCs w:val="0"/>
        <w:color w:val="CCE8CF"/>
      </w:r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000000"/>
      </w:tcPr>
    </w:tblStylePr>
    <w:tblStylePr w:type="lastRow">
      <w:rPr>
        <w:b/>
        <w:bCs/>
        <w:i w:val="0"/>
        <w:iCs w:val="0"/>
        <w:color w:val="CCE8CF"/>
      </w:r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000000"/>
      </w:tcPr>
    </w:tblStylePr>
    <w:tblStylePr w:type="firstCol">
      <w:rPr>
        <w:b/>
        <w:bCs/>
        <w:i w:val="0"/>
        <w:iCs w:val="0"/>
        <w:color w:val="CCE8CF"/>
      </w:rPr>
      <w:tcPr>
        <w:tcBorders>
          <w:top w:val="nil"/>
          <w:left w:val="single" w:color="CCE8CF" w:sz="8" w:space="0"/>
          <w:bottom w:val="nil"/>
          <w:right w:val="single" w:color="CCE8CF" w:sz="24" w:space="0"/>
          <w:insideH w:val="nil"/>
          <w:insideV w:val="nil"/>
          <w:tl2br w:val="nil"/>
          <w:tr2bl w:val="nil"/>
        </w:tcBorders>
        <w:shd w:val="clear" w:color="auto" w:fill="000000"/>
      </w:tcPr>
    </w:tblStylePr>
    <w:tblStylePr w:type="lastCol">
      <w:rPr>
        <w:b/>
        <w:bCs/>
        <w:i w:val="0"/>
        <w:iCs w:val="0"/>
        <w:color w:val="CCE8CF"/>
      </w:rPr>
      <w:tcPr>
        <w:tcBorders>
          <w:top w:val="nil"/>
          <w:left w:val="single" w:color="CCE8CF" w:sz="24" w:space="0"/>
          <w:bottom w:val="nil"/>
          <w:right w:val="nil"/>
          <w:insideH w:val="nil"/>
          <w:insideV w:val="nil"/>
          <w:tl2br w:val="nil"/>
          <w:tr2bl w:val="nil"/>
        </w:tcBorders>
        <w:shd w:val="clear" w:color="auto" w:fill="000000"/>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808080"/>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808080"/>
      </w:tcPr>
    </w:tblStylePr>
  </w:style>
  <w:style w:type="table" w:customStyle="1" w:styleId="299">
    <w:name w:val="中等深浅网格 3 - 强调文字颜色 21"/>
    <w:basedOn w:val="44"/>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FD3D2"/>
    </w:tcPr>
    <w:tblStylePr w:type="firstRow">
      <w:rPr>
        <w:b/>
        <w:bCs/>
        <w:i w:val="0"/>
        <w:iCs w:val="0"/>
        <w:color w:val="CCE8CF"/>
      </w:r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C0504D"/>
      </w:tcPr>
    </w:tblStylePr>
    <w:tblStylePr w:type="lastRow">
      <w:rPr>
        <w:b/>
        <w:bCs/>
        <w:i w:val="0"/>
        <w:iCs w:val="0"/>
        <w:color w:val="CCE8CF"/>
      </w:r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C0504D"/>
      </w:tcPr>
    </w:tblStylePr>
    <w:tblStylePr w:type="firstCol">
      <w:rPr>
        <w:b/>
        <w:bCs/>
        <w:i w:val="0"/>
        <w:iCs w:val="0"/>
        <w:color w:val="CCE8CF"/>
      </w:rPr>
      <w:tcPr>
        <w:tcBorders>
          <w:top w:val="nil"/>
          <w:left w:val="single" w:color="CCE8CF" w:sz="8" w:space="0"/>
          <w:bottom w:val="nil"/>
          <w:right w:val="single" w:color="CCE8CF" w:sz="24" w:space="0"/>
          <w:insideH w:val="nil"/>
          <w:insideV w:val="nil"/>
          <w:tl2br w:val="nil"/>
          <w:tr2bl w:val="nil"/>
        </w:tcBorders>
        <w:shd w:val="clear" w:color="auto" w:fill="C0504D"/>
      </w:tcPr>
    </w:tblStylePr>
    <w:tblStylePr w:type="lastCol">
      <w:rPr>
        <w:b/>
        <w:bCs/>
        <w:i w:val="0"/>
        <w:iCs w:val="0"/>
        <w:color w:val="CCE8CF"/>
      </w:rPr>
      <w:tcPr>
        <w:tcBorders>
          <w:top w:val="nil"/>
          <w:left w:val="single" w:color="CCE8CF" w:sz="24" w:space="0"/>
          <w:bottom w:val="nil"/>
          <w:right w:val="nil"/>
          <w:insideH w:val="nil"/>
          <w:insideV w:val="nil"/>
          <w:tl2br w:val="nil"/>
          <w:tr2bl w:val="nil"/>
        </w:tcBorders>
        <w:shd w:val="clear" w:color="auto" w:fill="C0504D"/>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DFA7A6"/>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DFA7A6"/>
      </w:tcPr>
    </w:tblStylePr>
  </w:style>
  <w:style w:type="table" w:customStyle="1" w:styleId="300">
    <w:name w:val="中等深浅网格 3 - 强调文字颜色 31"/>
    <w:basedOn w:val="44"/>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6EED5"/>
    </w:tcPr>
    <w:tblStylePr w:type="firstRow">
      <w:rPr>
        <w:b/>
        <w:bCs/>
        <w:i w:val="0"/>
        <w:iCs w:val="0"/>
        <w:color w:val="CCE8CF"/>
      </w:rPr>
      <w:tcPr>
        <w:tcBorders>
          <w:top w:val="single" w:color="CCE8CF" w:sz="8" w:space="0"/>
          <w:left w:val="single" w:color="CCE8CF" w:sz="8" w:space="0"/>
          <w:bottom w:val="single" w:color="CCE8CF" w:sz="24" w:space="0"/>
          <w:right w:val="single" w:color="CCE8CF" w:sz="8" w:space="0"/>
          <w:insideH w:val="nil"/>
          <w:insideV w:val="single" w:sz="8" w:space="0"/>
          <w:tl2br w:val="nil"/>
          <w:tr2bl w:val="nil"/>
        </w:tcBorders>
        <w:shd w:val="clear" w:color="auto" w:fill="9BBB59"/>
      </w:tcPr>
    </w:tblStylePr>
    <w:tblStylePr w:type="lastRow">
      <w:rPr>
        <w:b/>
        <w:bCs/>
        <w:i w:val="0"/>
        <w:iCs w:val="0"/>
        <w:color w:val="CCE8CF"/>
      </w:rPr>
      <w:tcPr>
        <w:tcBorders>
          <w:top w:val="single" w:color="CCE8CF" w:sz="24" w:space="0"/>
          <w:left w:val="single" w:color="CCE8CF" w:sz="8" w:space="0"/>
          <w:bottom w:val="single" w:color="CCE8CF" w:sz="8" w:space="0"/>
          <w:right w:val="single" w:color="CCE8CF" w:sz="8" w:space="0"/>
          <w:insideH w:val="nil"/>
          <w:insideV w:val="single" w:sz="8" w:space="0"/>
          <w:tl2br w:val="nil"/>
          <w:tr2bl w:val="nil"/>
        </w:tcBorders>
        <w:shd w:val="clear" w:color="auto" w:fill="9BBB59"/>
      </w:tcPr>
    </w:tblStylePr>
    <w:tblStylePr w:type="firstCol">
      <w:rPr>
        <w:b/>
        <w:bCs/>
        <w:i w:val="0"/>
        <w:iCs w:val="0"/>
        <w:color w:val="CCE8CF"/>
      </w:rPr>
      <w:tcPr>
        <w:tcBorders>
          <w:top w:val="nil"/>
          <w:left w:val="single" w:color="CCE8CF" w:sz="8" w:space="0"/>
          <w:bottom w:val="nil"/>
          <w:right w:val="single" w:color="CCE8CF" w:sz="24" w:space="0"/>
          <w:insideH w:val="nil"/>
          <w:insideV w:val="nil"/>
          <w:tl2br w:val="nil"/>
          <w:tr2bl w:val="nil"/>
        </w:tcBorders>
        <w:shd w:val="clear" w:color="auto" w:fill="9BBB59"/>
      </w:tcPr>
    </w:tblStylePr>
    <w:tblStylePr w:type="lastCol">
      <w:rPr>
        <w:b/>
        <w:bCs/>
        <w:i w:val="0"/>
        <w:iCs w:val="0"/>
        <w:color w:val="CCE8CF"/>
      </w:rPr>
      <w:tcPr>
        <w:tcBorders>
          <w:top w:val="nil"/>
          <w:left w:val="single" w:color="CCE8CF" w:sz="24" w:space="0"/>
          <w:bottom w:val="nil"/>
          <w:right w:val="nil"/>
          <w:insideH w:val="nil"/>
          <w:insideV w:val="nil"/>
          <w:tl2br w:val="nil"/>
          <w:tr2bl w:val="nil"/>
        </w:tcBorders>
        <w:shd w:val="clear" w:color="auto" w:fill="9BBB59"/>
      </w:tcPr>
    </w:tblStylePr>
    <w:tblStylePr w:type="band1Vert">
      <w:tcPr>
        <w:tcBorders>
          <w:top w:val="single" w:color="CCE8CF" w:sz="8" w:space="0"/>
          <w:left w:val="single" w:color="CCE8CF" w:sz="8" w:space="0"/>
          <w:bottom w:val="single" w:color="CCE8CF" w:sz="8" w:space="0"/>
          <w:right w:val="single" w:color="CCE8CF" w:sz="8" w:space="0"/>
          <w:insideH w:val="nil"/>
          <w:insideV w:val="nil"/>
          <w:tl2br w:val="nil"/>
          <w:tr2bl w:val="nil"/>
        </w:tcBorders>
        <w:shd w:val="clear" w:color="auto" w:fill="CDDDAC"/>
      </w:tcPr>
    </w:tblStylePr>
    <w:tblStylePr w:type="band1Horz">
      <w:tcPr>
        <w:tcBorders>
          <w:top w:val="single" w:color="CCE8CF" w:sz="8" w:space="0"/>
          <w:left w:val="single" w:color="CCE8CF" w:sz="8" w:space="0"/>
          <w:bottom w:val="single" w:color="CCE8CF" w:sz="8" w:space="0"/>
          <w:right w:val="single" w:color="CCE8CF" w:sz="8" w:space="0"/>
          <w:insideH w:val="single" w:sz="8" w:space="0"/>
          <w:insideV w:val="single" w:sz="8" w:space="0"/>
          <w:tl2br w:val="nil"/>
          <w:tr2bl w:val="nil"/>
        </w:tcBorders>
        <w:shd w:val="clear" w:color="auto" w:fill="CDDDAC"/>
      </w:tcPr>
    </w:tblStylePr>
  </w:style>
  <w:style w:type="character" w:customStyle="1" w:styleId="301">
    <w:name w:val="不明显强调11"/>
    <w:qFormat/>
    <w:uiPriority w:val="0"/>
    <w:rPr>
      <w:rFonts w:ascii="仿宋_GB2312" w:eastAsia="仿宋_GB2312"/>
      <w:b/>
      <w:i/>
      <w:iCs/>
      <w:color w:val="808080"/>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5136"/>
    <customShpInfo spid="_x0000_s5132"/>
    <customShpInfo spid="_x0000_s5130"/>
    <customShpInfo spid="_x0000_s5135"/>
    <customShpInfo spid="_x0000_s5134"/>
    <customShpInfo spid="_x0000_s5129"/>
    <customShpInfo spid="_x0000_s5131"/>
    <customShpInfo spid="_x0000_s51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ZY</Company>
  <Pages>59</Pages>
  <Words>46646</Words>
  <Characters>48252</Characters>
  <Lines>49</Lines>
  <Paragraphs>105</Paragraphs>
  <TotalTime>15</TotalTime>
  <ScaleCrop>false</ScaleCrop>
  <LinksUpToDate>false</LinksUpToDate>
  <CharactersWithSpaces>50105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2023-01-18T02:12:00Z</dcterms:created>
  <dc:creator>LQS</dc:creator>
  <cp:lastModifiedBy>n1</cp:lastModifiedBy>
  <cp:lastPrinted>2021-01-14T17:57:00Z</cp:lastPrinted>
  <dcterms:modified xsi:type="dcterms:W3CDTF">2023-01-18T08:35:54Z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D67A02F1F21C44D2992266E7058EA545</vt:lpwstr>
  </property>
</Properties>
</file>